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4061" w14:textId="77777777" w:rsidR="00097CF2" w:rsidRPr="00097CF2" w:rsidRDefault="00097CF2" w:rsidP="00097CF2">
      <w:pPr>
        <w:autoSpaceDE w:val="0"/>
        <w:autoSpaceDN w:val="0"/>
        <w:spacing w:after="0" w:line="240" w:lineRule="auto"/>
        <w:ind w:right="-54"/>
        <w:jc w:val="both"/>
        <w:rPr>
          <w:rFonts w:ascii="Verdana" w:eastAsia="Times New Roman" w:hAnsi="Verdana" w:cs="Arial"/>
          <w:color w:val="000000"/>
          <w:lang w:eastAsia="en-GB"/>
        </w:rPr>
      </w:pPr>
    </w:p>
    <w:p w14:paraId="1F0D8662" w14:textId="77777777" w:rsidR="00097CF2" w:rsidRPr="00097CF2" w:rsidRDefault="00097CF2" w:rsidP="00097CF2">
      <w:pPr>
        <w:autoSpaceDE w:val="0"/>
        <w:autoSpaceDN w:val="0"/>
        <w:spacing w:after="0" w:line="240" w:lineRule="auto"/>
        <w:ind w:right="-54"/>
        <w:jc w:val="both"/>
        <w:rPr>
          <w:rFonts w:ascii="Verdana" w:eastAsia="Times New Roman" w:hAnsi="Verdana" w:cs="Arial"/>
          <w:color w:val="000000"/>
          <w:lang w:eastAsia="en-GB"/>
        </w:rPr>
      </w:pPr>
    </w:p>
    <w:p w14:paraId="64E91978" w14:textId="77777777" w:rsidR="00097CF2" w:rsidRPr="00097CF2" w:rsidRDefault="00097CF2" w:rsidP="00097CF2">
      <w:pPr>
        <w:autoSpaceDE w:val="0"/>
        <w:autoSpaceDN w:val="0"/>
        <w:spacing w:after="0" w:line="240" w:lineRule="auto"/>
        <w:ind w:right="-54"/>
        <w:jc w:val="both"/>
        <w:rPr>
          <w:rFonts w:ascii="Verdana" w:eastAsia="Times New Roman" w:hAnsi="Verdana" w:cs="Arial"/>
          <w:color w:val="000000"/>
          <w:lang w:eastAsia="en-GB"/>
        </w:rPr>
      </w:pPr>
    </w:p>
    <w:p w14:paraId="5D82EF74" w14:textId="77777777" w:rsidR="00097CF2" w:rsidRPr="00097CF2" w:rsidRDefault="00097CF2" w:rsidP="00097CF2">
      <w:pPr>
        <w:autoSpaceDE w:val="0"/>
        <w:autoSpaceDN w:val="0"/>
        <w:spacing w:after="0" w:line="240" w:lineRule="auto"/>
        <w:ind w:right="-54"/>
        <w:jc w:val="both"/>
        <w:rPr>
          <w:rFonts w:ascii="Verdana" w:eastAsia="Times New Roman" w:hAnsi="Verdana" w:cs="Arial"/>
          <w:color w:val="000000"/>
          <w:lang w:eastAsia="en-GB"/>
        </w:rPr>
      </w:pPr>
    </w:p>
    <w:p w14:paraId="03290D56" w14:textId="77777777" w:rsidR="00097CF2" w:rsidRPr="00097CF2" w:rsidRDefault="00097CF2" w:rsidP="00097CF2">
      <w:pPr>
        <w:autoSpaceDE w:val="0"/>
        <w:autoSpaceDN w:val="0"/>
        <w:spacing w:after="0" w:line="240" w:lineRule="auto"/>
        <w:ind w:right="-54"/>
        <w:jc w:val="both"/>
        <w:rPr>
          <w:rFonts w:ascii="Verdana" w:eastAsia="Times New Roman" w:hAnsi="Verdana" w:cs="Arial"/>
          <w:color w:val="000000"/>
          <w:lang w:eastAsia="en-GB"/>
        </w:rPr>
      </w:pPr>
    </w:p>
    <w:p w14:paraId="58F147B3" w14:textId="77777777" w:rsidR="00097CF2" w:rsidRPr="00097CF2" w:rsidRDefault="00097CF2" w:rsidP="00097CF2">
      <w:pPr>
        <w:tabs>
          <w:tab w:val="center" w:pos="4153"/>
          <w:tab w:val="right" w:pos="8306"/>
        </w:tabs>
        <w:autoSpaceDE w:val="0"/>
        <w:autoSpaceDN w:val="0"/>
        <w:spacing w:after="0" w:line="240" w:lineRule="auto"/>
        <w:rPr>
          <w:rFonts w:ascii="Verdana" w:eastAsia="Times New Roman" w:hAnsi="Verdana" w:cs="Arial"/>
          <w:color w:val="000000"/>
          <w:sz w:val="24"/>
          <w:szCs w:val="24"/>
          <w:lang w:eastAsia="en-GB"/>
        </w:rPr>
      </w:pPr>
      <w:r w:rsidRPr="00097CF2">
        <w:rPr>
          <w:rFonts w:ascii="Verdana" w:eastAsia="Times New Roman" w:hAnsi="Verdana" w:cs="Arial"/>
          <w:color w:val="000000"/>
          <w:sz w:val="24"/>
          <w:szCs w:val="24"/>
          <w:lang w:eastAsia="en-GB"/>
        </w:rPr>
        <w:t>Development Management</w:t>
      </w:r>
    </w:p>
    <w:p w14:paraId="3B58855B" w14:textId="77777777" w:rsidR="00097CF2" w:rsidRPr="00097CF2" w:rsidRDefault="00097CF2" w:rsidP="00097CF2">
      <w:pPr>
        <w:spacing w:after="0" w:line="240" w:lineRule="auto"/>
        <w:rPr>
          <w:rFonts w:ascii="Verdana" w:eastAsia="Times New Roman" w:hAnsi="Verdana" w:cs="Times New Roman"/>
          <w:lang w:eastAsia="en-GB"/>
        </w:rPr>
      </w:pPr>
      <w:r w:rsidRPr="00097CF2">
        <w:rPr>
          <w:rFonts w:ascii="Verdana" w:eastAsia="Times New Roman" w:hAnsi="Verdana" w:cs="Times New Roman"/>
          <w:lang w:eastAsia="en-GB"/>
        </w:rPr>
        <w:t>Planning and Sustainable Development Service</w:t>
      </w:r>
    </w:p>
    <w:p w14:paraId="4E00D10B" w14:textId="77777777" w:rsidR="00097CF2" w:rsidRPr="00097CF2" w:rsidRDefault="00097CF2" w:rsidP="00097CF2">
      <w:pPr>
        <w:autoSpaceDE w:val="0"/>
        <w:autoSpaceDN w:val="0"/>
        <w:spacing w:after="0" w:line="240" w:lineRule="auto"/>
        <w:ind w:right="-54"/>
        <w:jc w:val="both"/>
        <w:rPr>
          <w:rFonts w:ascii="Verdana" w:eastAsia="Times New Roman" w:hAnsi="Verdana" w:cs="Arial"/>
          <w:color w:val="000000"/>
          <w:lang w:eastAsia="en-GB"/>
        </w:rPr>
      </w:pPr>
      <w:r w:rsidRPr="00097CF2">
        <w:rPr>
          <w:rFonts w:ascii="Verdana" w:eastAsia="Times New Roman" w:hAnsi="Verdana" w:cs="Arial"/>
          <w:color w:val="000000"/>
          <w:lang w:eastAsia="en-GB"/>
        </w:rPr>
        <w:br w:type="column"/>
      </w:r>
    </w:p>
    <w:p w14:paraId="10607CCC" w14:textId="77777777" w:rsidR="00097CF2" w:rsidRPr="00097CF2" w:rsidRDefault="00097CF2" w:rsidP="00097CF2">
      <w:pPr>
        <w:autoSpaceDE w:val="0"/>
        <w:autoSpaceDN w:val="0"/>
        <w:spacing w:after="0" w:line="240" w:lineRule="auto"/>
        <w:ind w:left="2880" w:right="-54"/>
        <w:jc w:val="both"/>
        <w:rPr>
          <w:rFonts w:ascii="Verdana" w:eastAsia="Times New Roman" w:hAnsi="Verdana" w:cs="Arial"/>
          <w:color w:val="000000"/>
          <w:lang w:eastAsia="en-GB"/>
        </w:rPr>
      </w:pPr>
      <w:r w:rsidRPr="00097CF2">
        <w:rPr>
          <w:rFonts w:ascii="Verdana" w:eastAsia="Times New Roman" w:hAnsi="Verdana" w:cs="Arial"/>
          <w:noProof/>
          <w:color w:val="000000"/>
          <w:lang w:eastAsia="en-GB"/>
        </w:rPr>
        <w:drawing>
          <wp:inline distT="0" distB="0" distL="0" distR="0" wp14:anchorId="228B2D70" wp14:editId="505AF109">
            <wp:extent cx="10382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inline>
        </w:drawing>
      </w:r>
    </w:p>
    <w:p w14:paraId="60A063DE" w14:textId="77777777" w:rsidR="00097CF2" w:rsidRPr="00097CF2" w:rsidRDefault="00097CF2" w:rsidP="00097CF2">
      <w:pPr>
        <w:autoSpaceDE w:val="0"/>
        <w:autoSpaceDN w:val="0"/>
        <w:spacing w:after="0" w:line="240" w:lineRule="auto"/>
        <w:ind w:left="2880" w:right="-54"/>
        <w:jc w:val="both"/>
        <w:rPr>
          <w:rFonts w:ascii="Verdana" w:eastAsia="Times New Roman" w:hAnsi="Verdana" w:cs="Arial"/>
          <w:color w:val="000000"/>
          <w:lang w:eastAsia="en-GB"/>
        </w:rPr>
      </w:pPr>
    </w:p>
    <w:p w14:paraId="0424199D" w14:textId="77777777" w:rsidR="00097CF2" w:rsidRPr="00097CF2" w:rsidRDefault="00097CF2" w:rsidP="00097CF2">
      <w:pPr>
        <w:spacing w:after="0" w:line="240" w:lineRule="auto"/>
        <w:rPr>
          <w:rFonts w:ascii="Verdana" w:eastAsia="Times New Roman" w:hAnsi="Verdana" w:cs="Arial"/>
          <w:color w:val="000000"/>
          <w:lang w:eastAsia="en-GB"/>
        </w:rPr>
        <w:sectPr w:rsidR="00097CF2" w:rsidRPr="00097CF2" w:rsidSect="00097CF2">
          <w:headerReference w:type="even" r:id="rId12"/>
          <w:headerReference w:type="default" r:id="rId13"/>
          <w:footerReference w:type="even" r:id="rId14"/>
          <w:footerReference w:type="default" r:id="rId15"/>
          <w:headerReference w:type="first" r:id="rId16"/>
          <w:footerReference w:type="first" r:id="rId17"/>
          <w:pgSz w:w="11906" w:h="16838"/>
          <w:pgMar w:top="360" w:right="1134" w:bottom="680" w:left="1134" w:header="284" w:footer="284" w:gutter="0"/>
          <w:paperSrc w:first="15" w:other="15"/>
          <w:cols w:num="2" w:space="720" w:equalWidth="0">
            <w:col w:w="4459" w:space="720"/>
            <w:col w:w="4459"/>
          </w:cols>
        </w:sectPr>
      </w:pPr>
    </w:p>
    <w:p w14:paraId="77F746F7" w14:textId="77777777" w:rsidR="00097CF2" w:rsidRPr="00097CF2" w:rsidRDefault="00097CF2" w:rsidP="00097CF2">
      <w:pPr>
        <w:autoSpaceDE w:val="0"/>
        <w:autoSpaceDN w:val="0"/>
        <w:spacing w:after="0" w:line="240" w:lineRule="auto"/>
        <w:jc w:val="center"/>
        <w:rPr>
          <w:rFonts w:ascii="Verdana" w:eastAsia="Times New Roman" w:hAnsi="Verdana" w:cs="Arial"/>
          <w:b/>
          <w:bCs/>
          <w:color w:val="000000"/>
          <w:lang w:eastAsia="en-GB"/>
        </w:rPr>
      </w:pPr>
      <w:r w:rsidRPr="00097CF2">
        <w:rPr>
          <w:rFonts w:ascii="Verdana" w:eastAsia="Times New Roman" w:hAnsi="Verdana" w:cs="Arial"/>
          <w:b/>
          <w:bCs/>
          <w:color w:val="000000"/>
          <w:lang w:eastAsia="en-GB"/>
        </w:rPr>
        <w:t>OFFICER REPORT – DELEGATED</w:t>
      </w:r>
    </w:p>
    <w:p w14:paraId="646A7501" w14:textId="77777777" w:rsidR="00097CF2" w:rsidRPr="00097CF2" w:rsidRDefault="00097CF2" w:rsidP="00097CF2">
      <w:pPr>
        <w:autoSpaceDE w:val="0"/>
        <w:autoSpaceDN w:val="0"/>
        <w:spacing w:after="0" w:line="240" w:lineRule="auto"/>
        <w:jc w:val="center"/>
        <w:rPr>
          <w:rFonts w:ascii="Verdana" w:eastAsia="Times New Roman" w:hAnsi="Verdana"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097CF2" w:rsidRPr="00097CF2" w14:paraId="187A0596" w14:textId="77777777" w:rsidTr="00A96D75">
        <w:tc>
          <w:tcPr>
            <w:tcW w:w="4788" w:type="dxa"/>
            <w:shd w:val="pct25" w:color="000000" w:fill="FFFFFF"/>
            <w:vAlign w:val="center"/>
          </w:tcPr>
          <w:p w14:paraId="63178A31" w14:textId="77777777" w:rsidR="00097CF2" w:rsidRPr="00097CF2" w:rsidRDefault="00097CF2" w:rsidP="00097CF2">
            <w:pPr>
              <w:autoSpaceDE w:val="0"/>
              <w:autoSpaceDN w:val="0"/>
              <w:spacing w:before="60" w:after="6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Application number: PA20/09631</w:t>
            </w:r>
          </w:p>
        </w:tc>
        <w:tc>
          <w:tcPr>
            <w:tcW w:w="5040" w:type="dxa"/>
            <w:shd w:val="pct25" w:color="auto" w:fill="auto"/>
            <w:vAlign w:val="center"/>
          </w:tcPr>
          <w:p w14:paraId="191D6A0C" w14:textId="13906C1D" w:rsidR="00097CF2" w:rsidRPr="00097CF2" w:rsidRDefault="00097CF2" w:rsidP="00097CF2">
            <w:pPr>
              <w:autoSpaceDE w:val="0"/>
              <w:autoSpaceDN w:val="0"/>
              <w:spacing w:before="60" w:after="6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Expiry date:</w:t>
            </w:r>
            <w:r w:rsidRPr="00097CF2">
              <w:rPr>
                <w:rFonts w:ascii="Verdana" w:eastAsia="Times New Roman" w:hAnsi="Verdana" w:cs="Arial"/>
                <w:b/>
                <w:bCs/>
                <w:color w:val="000000"/>
                <w:sz w:val="18"/>
                <w:szCs w:val="18"/>
                <w:lang w:eastAsia="en-GB"/>
              </w:rPr>
              <w:tab/>
              <w:t>2</w:t>
            </w:r>
            <w:r w:rsidR="00946C50">
              <w:rPr>
                <w:rFonts w:ascii="Verdana" w:eastAsia="Times New Roman" w:hAnsi="Verdana" w:cs="Arial"/>
                <w:b/>
                <w:bCs/>
                <w:color w:val="000000"/>
                <w:sz w:val="18"/>
                <w:szCs w:val="18"/>
                <w:lang w:eastAsia="en-GB"/>
              </w:rPr>
              <w:t>9</w:t>
            </w:r>
            <w:r w:rsidRPr="00097CF2">
              <w:rPr>
                <w:rFonts w:ascii="Verdana" w:eastAsia="Times New Roman" w:hAnsi="Verdana" w:cs="Arial"/>
                <w:b/>
                <w:bCs/>
                <w:color w:val="000000"/>
                <w:sz w:val="18"/>
                <w:szCs w:val="18"/>
                <w:lang w:eastAsia="en-GB"/>
              </w:rPr>
              <w:t xml:space="preserve"> </w:t>
            </w:r>
            <w:r w:rsidR="00946C50">
              <w:rPr>
                <w:rFonts w:ascii="Verdana" w:eastAsia="Times New Roman" w:hAnsi="Verdana" w:cs="Arial"/>
                <w:b/>
                <w:bCs/>
                <w:color w:val="000000"/>
                <w:sz w:val="18"/>
                <w:szCs w:val="18"/>
                <w:lang w:eastAsia="en-GB"/>
              </w:rPr>
              <w:t>April</w:t>
            </w:r>
            <w:r w:rsidRPr="00097CF2">
              <w:rPr>
                <w:rFonts w:ascii="Verdana" w:eastAsia="Times New Roman" w:hAnsi="Verdana" w:cs="Arial"/>
                <w:b/>
                <w:bCs/>
                <w:color w:val="000000"/>
                <w:sz w:val="18"/>
                <w:szCs w:val="18"/>
                <w:lang w:eastAsia="en-GB"/>
              </w:rPr>
              <w:t xml:space="preserve"> 202</w:t>
            </w:r>
            <w:r w:rsidR="00946C50">
              <w:rPr>
                <w:rFonts w:ascii="Verdana" w:eastAsia="Times New Roman" w:hAnsi="Verdana" w:cs="Arial"/>
                <w:b/>
                <w:bCs/>
                <w:color w:val="000000"/>
                <w:sz w:val="18"/>
                <w:szCs w:val="18"/>
                <w:lang w:eastAsia="en-GB"/>
              </w:rPr>
              <w:t>2</w:t>
            </w:r>
          </w:p>
        </w:tc>
      </w:tr>
      <w:tr w:rsidR="00097CF2" w:rsidRPr="00097CF2" w14:paraId="52481EEB" w14:textId="77777777" w:rsidTr="00A96D75">
        <w:tc>
          <w:tcPr>
            <w:tcW w:w="4788" w:type="dxa"/>
            <w:shd w:val="pct25" w:color="000000" w:fill="FFFFFF"/>
            <w:vAlign w:val="center"/>
          </w:tcPr>
          <w:p w14:paraId="1C34F9F3" w14:textId="77777777" w:rsidR="00097CF2" w:rsidRPr="00097CF2" w:rsidRDefault="00097CF2" w:rsidP="00097CF2">
            <w:pPr>
              <w:tabs>
                <w:tab w:val="left" w:pos="1620"/>
              </w:tabs>
              <w:autoSpaceDE w:val="0"/>
              <w:autoSpaceDN w:val="0"/>
              <w:spacing w:before="60" w:after="6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Received on:</w:t>
            </w:r>
            <w:r w:rsidRPr="00097CF2">
              <w:rPr>
                <w:rFonts w:ascii="Verdana" w:eastAsia="Times New Roman" w:hAnsi="Verdana" w:cs="Arial"/>
                <w:b/>
                <w:bCs/>
                <w:color w:val="000000"/>
                <w:sz w:val="18"/>
                <w:szCs w:val="18"/>
                <w:lang w:eastAsia="en-GB"/>
              </w:rPr>
              <w:tab/>
            </w:r>
            <w:r w:rsidRPr="00097CF2">
              <w:rPr>
                <w:rFonts w:ascii="Verdana" w:eastAsia="Times New Roman" w:hAnsi="Verdana" w:cs="Arial"/>
                <w:b/>
                <w:color w:val="000000"/>
                <w:sz w:val="18"/>
                <w:szCs w:val="18"/>
                <w:lang w:eastAsia="en-GB"/>
              </w:rPr>
              <w:t>3 November 2020</w:t>
            </w:r>
          </w:p>
        </w:tc>
        <w:tc>
          <w:tcPr>
            <w:tcW w:w="5040" w:type="dxa"/>
            <w:shd w:val="pct25" w:color="auto" w:fill="auto"/>
            <w:vAlign w:val="center"/>
          </w:tcPr>
          <w:p w14:paraId="3765AA6E" w14:textId="77777777" w:rsidR="00097CF2" w:rsidRPr="00097CF2" w:rsidRDefault="00097CF2" w:rsidP="00097CF2">
            <w:pPr>
              <w:autoSpaceDE w:val="0"/>
              <w:autoSpaceDN w:val="0"/>
              <w:spacing w:before="60" w:after="6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Neighbour expiry date:</w:t>
            </w:r>
            <w:r w:rsidRPr="00097CF2">
              <w:rPr>
                <w:rFonts w:ascii="Verdana" w:eastAsia="Times New Roman" w:hAnsi="Verdana" w:cs="Arial"/>
                <w:b/>
                <w:bCs/>
                <w:color w:val="000000"/>
                <w:sz w:val="18"/>
                <w:szCs w:val="18"/>
                <w:lang w:eastAsia="en-GB"/>
              </w:rPr>
              <w:tab/>
              <w:t xml:space="preserve"> 14 February 2021</w:t>
            </w:r>
          </w:p>
        </w:tc>
      </w:tr>
      <w:tr w:rsidR="00097CF2" w:rsidRPr="00097CF2" w14:paraId="37769DDE" w14:textId="77777777" w:rsidTr="00A96D75">
        <w:tc>
          <w:tcPr>
            <w:tcW w:w="4788" w:type="dxa"/>
            <w:shd w:val="pct25" w:color="000000" w:fill="FFFFFF"/>
            <w:vAlign w:val="center"/>
          </w:tcPr>
          <w:p w14:paraId="33D6F8DC" w14:textId="77777777" w:rsidR="00097CF2" w:rsidRPr="00097CF2" w:rsidRDefault="00097CF2" w:rsidP="00097CF2">
            <w:pPr>
              <w:tabs>
                <w:tab w:val="left" w:pos="1125"/>
              </w:tabs>
              <w:autoSpaceDE w:val="0"/>
              <w:autoSpaceDN w:val="0"/>
              <w:spacing w:before="60" w:after="6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 xml:space="preserve">UPRN: </w:t>
            </w:r>
            <w:r w:rsidRPr="00097CF2">
              <w:rPr>
                <w:rFonts w:ascii="Verdana" w:eastAsia="Times New Roman" w:hAnsi="Verdana" w:cs="Arial"/>
                <w:b/>
                <w:bCs/>
                <w:color w:val="000000"/>
                <w:sz w:val="18"/>
                <w:szCs w:val="18"/>
                <w:lang w:eastAsia="en-GB"/>
              </w:rPr>
              <w:tab/>
              <w:t>010090523220</w:t>
            </w:r>
          </w:p>
        </w:tc>
        <w:tc>
          <w:tcPr>
            <w:tcW w:w="5040" w:type="dxa"/>
            <w:shd w:val="pct25" w:color="auto" w:fill="auto"/>
            <w:vAlign w:val="center"/>
          </w:tcPr>
          <w:p w14:paraId="5915E171" w14:textId="77777777" w:rsidR="00097CF2" w:rsidRPr="00097CF2" w:rsidRDefault="00097CF2" w:rsidP="00097CF2">
            <w:pPr>
              <w:autoSpaceDE w:val="0"/>
              <w:autoSpaceDN w:val="0"/>
              <w:spacing w:before="60" w:after="6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Consultation expiry date:</w:t>
            </w:r>
            <w:r w:rsidRPr="00097CF2">
              <w:rPr>
                <w:rFonts w:ascii="Verdana" w:eastAsia="Times New Roman" w:hAnsi="Verdana" w:cs="Arial"/>
                <w:b/>
                <w:bCs/>
                <w:color w:val="000000"/>
                <w:sz w:val="18"/>
                <w:szCs w:val="18"/>
                <w:lang w:eastAsia="en-GB"/>
              </w:rPr>
              <w:tab/>
              <w:t>29 November 2021</w:t>
            </w:r>
          </w:p>
        </w:tc>
      </w:tr>
      <w:tr w:rsidR="00097CF2" w:rsidRPr="00097CF2" w14:paraId="2E6839F1" w14:textId="77777777" w:rsidTr="00A96D75">
        <w:tc>
          <w:tcPr>
            <w:tcW w:w="4788" w:type="dxa"/>
            <w:shd w:val="pct25" w:color="000000" w:fill="FFFFFF"/>
            <w:vAlign w:val="center"/>
          </w:tcPr>
          <w:p w14:paraId="5C93241D" w14:textId="5A8981FB" w:rsidR="00097CF2" w:rsidRPr="00097CF2" w:rsidRDefault="00097CF2" w:rsidP="00097CF2">
            <w:pPr>
              <w:autoSpaceDE w:val="0"/>
              <w:autoSpaceDN w:val="0"/>
              <w:spacing w:before="60" w:after="6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 xml:space="preserve">Legal agreement: </w:t>
            </w:r>
            <w:r w:rsidR="008A2A24">
              <w:rPr>
                <w:rFonts w:ascii="Verdana" w:eastAsia="Times New Roman" w:hAnsi="Verdana" w:cs="Arial"/>
                <w:b/>
                <w:bCs/>
                <w:color w:val="000000"/>
                <w:sz w:val="18"/>
                <w:szCs w:val="18"/>
                <w:lang w:eastAsia="en-GB"/>
              </w:rPr>
              <w:t>Y</w:t>
            </w:r>
            <w:r w:rsidRPr="00097CF2">
              <w:rPr>
                <w:rFonts w:ascii="Verdana" w:eastAsia="Times New Roman" w:hAnsi="Verdana" w:cs="Arial"/>
                <w:b/>
                <w:bCs/>
                <w:color w:val="000000"/>
                <w:sz w:val="18"/>
                <w:szCs w:val="18"/>
                <w:lang w:eastAsia="en-GB"/>
              </w:rPr>
              <w:t xml:space="preserve"> </w:t>
            </w:r>
          </w:p>
        </w:tc>
        <w:tc>
          <w:tcPr>
            <w:tcW w:w="5040" w:type="dxa"/>
            <w:shd w:val="pct25" w:color="auto" w:fill="auto"/>
            <w:vAlign w:val="center"/>
          </w:tcPr>
          <w:p w14:paraId="13DD5DE8" w14:textId="44F034EA" w:rsidR="00097CF2" w:rsidRPr="00097CF2" w:rsidRDefault="00097CF2" w:rsidP="00097CF2">
            <w:pPr>
              <w:autoSpaceDE w:val="0"/>
              <w:autoSpaceDN w:val="0"/>
              <w:spacing w:before="60" w:after="60" w:line="240" w:lineRule="auto"/>
              <w:rPr>
                <w:rFonts w:ascii="Verdana" w:eastAsia="Times New Roman" w:hAnsi="Verdana" w:cs="Arial"/>
                <w:b/>
                <w:bCs/>
                <w:color w:val="000000"/>
                <w:sz w:val="18"/>
                <w:szCs w:val="18"/>
                <w:lang w:eastAsia="en-GB"/>
              </w:rPr>
            </w:pPr>
          </w:p>
        </w:tc>
      </w:tr>
      <w:tr w:rsidR="00097CF2" w:rsidRPr="00097CF2" w14:paraId="7C938D15" w14:textId="77777777" w:rsidTr="00A96D75">
        <w:tc>
          <w:tcPr>
            <w:tcW w:w="4788" w:type="dxa"/>
            <w:shd w:val="pct25" w:color="000000" w:fill="FFFFFF"/>
            <w:vAlign w:val="center"/>
          </w:tcPr>
          <w:p w14:paraId="6F838FEA" w14:textId="628F810C" w:rsidR="00097CF2" w:rsidRPr="00097CF2" w:rsidRDefault="00097CF2" w:rsidP="00097CF2">
            <w:pPr>
              <w:autoSpaceDE w:val="0"/>
              <w:autoSpaceDN w:val="0"/>
              <w:spacing w:before="60" w:after="6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 xml:space="preserve">Departure:  </w:t>
            </w:r>
            <w:r w:rsidR="00EA77E8">
              <w:rPr>
                <w:rFonts w:ascii="Verdana" w:eastAsia="Times New Roman" w:hAnsi="Verdana" w:cs="Arial"/>
                <w:b/>
                <w:bCs/>
                <w:color w:val="000000"/>
                <w:sz w:val="18"/>
                <w:szCs w:val="18"/>
                <w:lang w:eastAsia="en-GB"/>
              </w:rPr>
              <w:t>N</w:t>
            </w:r>
          </w:p>
        </w:tc>
        <w:tc>
          <w:tcPr>
            <w:tcW w:w="5040" w:type="dxa"/>
            <w:shd w:val="pct25" w:color="auto" w:fill="auto"/>
            <w:vAlign w:val="center"/>
          </w:tcPr>
          <w:p w14:paraId="2534FB25" w14:textId="4E2AD6CA" w:rsidR="00097CF2" w:rsidRPr="00097CF2" w:rsidRDefault="00097CF2" w:rsidP="00097CF2">
            <w:pPr>
              <w:autoSpaceDE w:val="0"/>
              <w:autoSpaceDN w:val="0"/>
              <w:spacing w:before="60" w:after="60" w:line="240" w:lineRule="auto"/>
              <w:rPr>
                <w:rFonts w:ascii="Verdana" w:eastAsia="Times New Roman" w:hAnsi="Verdana" w:cs="Arial"/>
                <w:b/>
                <w:bCs/>
                <w:color w:val="000000"/>
                <w:sz w:val="18"/>
                <w:szCs w:val="18"/>
                <w:lang w:eastAsia="en-GB"/>
              </w:rPr>
            </w:pPr>
          </w:p>
        </w:tc>
      </w:tr>
      <w:tr w:rsidR="00097CF2" w:rsidRPr="00097CF2" w14:paraId="6BA70D48" w14:textId="77777777" w:rsidTr="00A96D75">
        <w:tc>
          <w:tcPr>
            <w:tcW w:w="4788" w:type="dxa"/>
            <w:shd w:val="pct25" w:color="000000" w:fill="FFFFFF"/>
            <w:vAlign w:val="center"/>
          </w:tcPr>
          <w:p w14:paraId="43986C3E" w14:textId="5C7EDECB" w:rsidR="00097CF2" w:rsidRPr="00097CF2" w:rsidRDefault="00097CF2" w:rsidP="00097CF2">
            <w:pPr>
              <w:autoSpaceDE w:val="0"/>
              <w:autoSpaceDN w:val="0"/>
              <w:spacing w:before="60" w:after="6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Complies with Development Plan?  Y</w:t>
            </w:r>
          </w:p>
        </w:tc>
        <w:tc>
          <w:tcPr>
            <w:tcW w:w="5040" w:type="dxa"/>
            <w:shd w:val="pct25" w:color="auto" w:fill="auto"/>
            <w:vAlign w:val="center"/>
          </w:tcPr>
          <w:p w14:paraId="497D6C0D" w14:textId="77777777" w:rsidR="00097CF2" w:rsidRPr="00097CF2" w:rsidRDefault="00097CF2" w:rsidP="00097CF2">
            <w:pPr>
              <w:autoSpaceDE w:val="0"/>
              <w:autoSpaceDN w:val="0"/>
              <w:spacing w:before="60" w:after="60" w:line="240" w:lineRule="auto"/>
              <w:rPr>
                <w:rFonts w:ascii="Verdana" w:eastAsia="Times New Roman" w:hAnsi="Verdana" w:cs="Arial"/>
                <w:b/>
                <w:bCs/>
                <w:color w:val="000000"/>
                <w:sz w:val="18"/>
                <w:szCs w:val="18"/>
                <w:lang w:eastAsia="en-GB"/>
              </w:rPr>
            </w:pPr>
          </w:p>
        </w:tc>
      </w:tr>
      <w:tr w:rsidR="00097CF2" w:rsidRPr="00097CF2" w14:paraId="0410A521" w14:textId="77777777" w:rsidTr="00A96D75">
        <w:tc>
          <w:tcPr>
            <w:tcW w:w="9828" w:type="dxa"/>
            <w:gridSpan w:val="2"/>
            <w:shd w:val="pct25" w:color="000000" w:fill="FFFFFF"/>
            <w:vAlign w:val="center"/>
          </w:tcPr>
          <w:p w14:paraId="02B565D7" w14:textId="0A3602AB" w:rsidR="00097CF2" w:rsidRPr="00097CF2" w:rsidRDefault="00097CF2" w:rsidP="00097CF2">
            <w:pPr>
              <w:autoSpaceDE w:val="0"/>
              <w:autoSpaceDN w:val="0"/>
              <w:spacing w:before="60" w:after="60" w:line="240" w:lineRule="auto"/>
              <w:rPr>
                <w:rFonts w:ascii="Verdana" w:eastAsia="Times New Roman" w:hAnsi="Verdana" w:cs="Arial"/>
                <w:b/>
                <w:bCs/>
                <w:color w:val="000000"/>
                <w:sz w:val="18"/>
                <w:szCs w:val="18"/>
                <w:lang w:eastAsia="en-GB"/>
              </w:rPr>
            </w:pPr>
          </w:p>
        </w:tc>
      </w:tr>
    </w:tbl>
    <w:p w14:paraId="0D9B8310" w14:textId="77777777" w:rsidR="00097CF2" w:rsidRPr="00097CF2" w:rsidRDefault="00097CF2" w:rsidP="00097CF2">
      <w:pPr>
        <w:autoSpaceDE w:val="0"/>
        <w:autoSpaceDN w:val="0"/>
        <w:spacing w:after="0" w:line="240" w:lineRule="auto"/>
        <w:rPr>
          <w:rFonts w:ascii="Verdana" w:eastAsia="Times New Roman" w:hAnsi="Verdana"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097CF2" w:rsidRPr="00097CF2" w14:paraId="1A4C8A97" w14:textId="77777777" w:rsidTr="00A96D75">
        <w:trPr>
          <w:trHeight w:val="324"/>
        </w:trPr>
        <w:tc>
          <w:tcPr>
            <w:tcW w:w="3276" w:type="dxa"/>
            <w:shd w:val="pct25" w:color="000000" w:fill="FFFFFF"/>
            <w:vAlign w:val="center"/>
          </w:tcPr>
          <w:p w14:paraId="21FFBD65" w14:textId="77777777" w:rsidR="00097CF2" w:rsidRPr="00097CF2" w:rsidRDefault="00097CF2" w:rsidP="00097CF2">
            <w:pPr>
              <w:autoSpaceDE w:val="0"/>
              <w:autoSpaceDN w:val="0"/>
              <w:spacing w:after="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Applicant:</w:t>
            </w:r>
          </w:p>
        </w:tc>
        <w:tc>
          <w:tcPr>
            <w:tcW w:w="6552" w:type="dxa"/>
            <w:shd w:val="pct25" w:color="000000" w:fill="FFFFFF"/>
            <w:vAlign w:val="center"/>
          </w:tcPr>
          <w:p w14:paraId="6B1185F2" w14:textId="77777777" w:rsidR="00097CF2" w:rsidRPr="00097CF2" w:rsidRDefault="00097CF2" w:rsidP="00097CF2">
            <w:pPr>
              <w:autoSpaceDE w:val="0"/>
              <w:autoSpaceDN w:val="0"/>
              <w:spacing w:after="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MR Phil Mason CORNWALL COUNCIL</w:t>
            </w:r>
          </w:p>
        </w:tc>
      </w:tr>
      <w:tr w:rsidR="00097CF2" w:rsidRPr="00097CF2" w14:paraId="47C16367" w14:textId="77777777" w:rsidTr="00A96D75">
        <w:trPr>
          <w:trHeight w:val="324"/>
        </w:trPr>
        <w:tc>
          <w:tcPr>
            <w:tcW w:w="3276" w:type="dxa"/>
            <w:shd w:val="pct25" w:color="000000" w:fill="FFFFFF"/>
            <w:vAlign w:val="center"/>
          </w:tcPr>
          <w:p w14:paraId="056D93DB" w14:textId="77777777" w:rsidR="00097CF2" w:rsidRPr="00097CF2" w:rsidRDefault="00097CF2" w:rsidP="00097CF2">
            <w:pPr>
              <w:autoSpaceDE w:val="0"/>
              <w:autoSpaceDN w:val="0"/>
              <w:spacing w:after="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Site Address:</w:t>
            </w:r>
          </w:p>
        </w:tc>
        <w:tc>
          <w:tcPr>
            <w:tcW w:w="6552" w:type="dxa"/>
            <w:shd w:val="pct25" w:color="000000" w:fill="FFFFFF"/>
            <w:vAlign w:val="center"/>
          </w:tcPr>
          <w:p w14:paraId="57CDF998" w14:textId="77777777" w:rsidR="00097CF2" w:rsidRPr="00097CF2" w:rsidRDefault="00097CF2" w:rsidP="00097CF2">
            <w:pPr>
              <w:autoSpaceDE w:val="0"/>
              <w:autoSpaceDN w:val="0"/>
              <w:spacing w:after="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Land North Of A390 Threemilestone</w:t>
            </w:r>
          </w:p>
          <w:p w14:paraId="13ED2F89" w14:textId="77777777" w:rsidR="00097CF2" w:rsidRPr="00097CF2" w:rsidRDefault="00097CF2" w:rsidP="00097CF2">
            <w:pPr>
              <w:autoSpaceDE w:val="0"/>
              <w:autoSpaceDN w:val="0"/>
              <w:spacing w:after="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Threemilestone</w:t>
            </w:r>
          </w:p>
          <w:p w14:paraId="0D456327" w14:textId="77777777" w:rsidR="00097CF2" w:rsidRPr="00097CF2" w:rsidRDefault="00097CF2" w:rsidP="00097CF2">
            <w:pPr>
              <w:autoSpaceDE w:val="0"/>
              <w:autoSpaceDN w:val="0"/>
              <w:spacing w:after="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Cornwall</w:t>
            </w:r>
          </w:p>
          <w:p w14:paraId="39F9947A" w14:textId="77777777" w:rsidR="00097CF2" w:rsidRPr="00097CF2" w:rsidRDefault="00097CF2" w:rsidP="00097CF2">
            <w:pPr>
              <w:autoSpaceDE w:val="0"/>
              <w:autoSpaceDN w:val="0"/>
              <w:spacing w:after="0" w:line="240" w:lineRule="auto"/>
              <w:rPr>
                <w:rFonts w:ascii="Verdana" w:eastAsia="Times New Roman" w:hAnsi="Verdana" w:cs="Arial"/>
                <w:b/>
                <w:bCs/>
                <w:color w:val="000000"/>
                <w:sz w:val="18"/>
                <w:szCs w:val="18"/>
                <w:lang w:eastAsia="en-GB"/>
              </w:rPr>
            </w:pPr>
          </w:p>
          <w:p w14:paraId="36C1E6D6" w14:textId="77777777" w:rsidR="00097CF2" w:rsidRPr="00097CF2" w:rsidRDefault="00097CF2" w:rsidP="00097CF2">
            <w:pPr>
              <w:autoSpaceDE w:val="0"/>
              <w:autoSpaceDN w:val="0"/>
              <w:spacing w:after="0" w:line="240" w:lineRule="auto"/>
              <w:rPr>
                <w:rFonts w:ascii="Verdana" w:eastAsia="Times New Roman" w:hAnsi="Verdana" w:cs="Arial"/>
                <w:b/>
                <w:bCs/>
                <w:color w:val="000000"/>
                <w:sz w:val="18"/>
                <w:szCs w:val="18"/>
                <w:lang w:eastAsia="en-GB"/>
              </w:rPr>
            </w:pPr>
          </w:p>
        </w:tc>
      </w:tr>
      <w:tr w:rsidR="00097CF2" w:rsidRPr="00097CF2" w14:paraId="585A7F1E" w14:textId="77777777" w:rsidTr="00A96D75">
        <w:trPr>
          <w:trHeight w:val="324"/>
        </w:trPr>
        <w:tc>
          <w:tcPr>
            <w:tcW w:w="3276" w:type="dxa"/>
            <w:shd w:val="pct25" w:color="000000" w:fill="FFFFFF"/>
            <w:vAlign w:val="center"/>
          </w:tcPr>
          <w:p w14:paraId="610F4114" w14:textId="77777777" w:rsidR="00097CF2" w:rsidRPr="00097CF2" w:rsidRDefault="00097CF2" w:rsidP="00097CF2">
            <w:pPr>
              <w:autoSpaceDE w:val="0"/>
              <w:autoSpaceDN w:val="0"/>
              <w:spacing w:after="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Proposal:</w:t>
            </w:r>
          </w:p>
        </w:tc>
        <w:tc>
          <w:tcPr>
            <w:tcW w:w="6552" w:type="dxa"/>
            <w:shd w:val="pct25" w:color="000000" w:fill="FFFFFF"/>
            <w:vAlign w:val="center"/>
          </w:tcPr>
          <w:p w14:paraId="4583477E" w14:textId="55BA83FB" w:rsidR="00097CF2" w:rsidRPr="00097CF2" w:rsidRDefault="00097CF2" w:rsidP="00097CF2">
            <w:pPr>
              <w:autoSpaceDE w:val="0"/>
              <w:autoSpaceDN w:val="0"/>
              <w:spacing w:after="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Hybrid planning application for Langarth Garden Village comprising: A.  A full planning application for construction of the Northern Access Road and associated access junction arrangements onto the A390, new junctions to the quiet lanes and associated infrastructure and earthworks and retaining and boundary features; B.  An outline planning application with all matters reserved to create a mixed use, landscape-led community comprising a phased development of up to 3550 dwellings plus 200 extra care units and 50 units of student/health worker accommodation, including affordable housing; five local centres comprising local retail (E), offices (E), restaurants and cafes (E), drinking establishments (sui generis), hot food takeaway (sui generis), health and community facilities (F1 and</w:t>
            </w:r>
            <w:r w:rsidR="00946C50">
              <w:rPr>
                <w:rFonts w:ascii="Verdana" w:eastAsia="Times New Roman" w:hAnsi="Verdana" w:cs="Arial"/>
                <w:b/>
                <w:bCs/>
                <w:color w:val="000000"/>
                <w:sz w:val="18"/>
                <w:szCs w:val="18"/>
                <w:lang w:eastAsia="en-GB"/>
              </w:rPr>
              <w:t xml:space="preserve"> </w:t>
            </w:r>
            <w:r w:rsidRPr="00097CF2">
              <w:rPr>
                <w:rFonts w:ascii="Verdana" w:eastAsia="Times New Roman" w:hAnsi="Verdana" w:cs="Arial"/>
                <w:b/>
                <w:bCs/>
                <w:color w:val="000000"/>
                <w:sz w:val="18"/>
                <w:szCs w:val="18"/>
                <w:lang w:eastAsia="en-GB"/>
              </w:rPr>
              <w:t>E), a local care health centre (E), a blue light centre for emergency services (sui generis), up to two primary schools (F1), business and commercial floorspace (E), brewery / public house (sui generis) and associated areas of open space to include a suitable alternative natural greenspace as a strategic open space a community farm/allotments, public realm, renewable energy provision and energy centre, park and ride extension (of up to 600 spaces or 2.73 ha), cycle lanes, connections with the existing highway network including crossings of the A390, quiet lanes, drainage and associated infrastructure, including the demolition of buildings and structures, site clearance and associated earthworks and  C. The Application is accompanied by an Environmental Statement.</w:t>
            </w:r>
          </w:p>
        </w:tc>
      </w:tr>
      <w:tr w:rsidR="00097CF2" w:rsidRPr="00097CF2" w14:paraId="4EB43064" w14:textId="77777777" w:rsidTr="00A96D75">
        <w:trPr>
          <w:trHeight w:val="324"/>
        </w:trPr>
        <w:tc>
          <w:tcPr>
            <w:tcW w:w="3276" w:type="dxa"/>
            <w:shd w:val="pct25" w:color="000000" w:fill="FFFFFF"/>
            <w:vAlign w:val="center"/>
          </w:tcPr>
          <w:p w14:paraId="22CB93A4" w14:textId="77777777" w:rsidR="00097CF2" w:rsidRPr="00097CF2" w:rsidRDefault="00097CF2" w:rsidP="00097CF2">
            <w:pPr>
              <w:autoSpaceDE w:val="0"/>
              <w:autoSpaceDN w:val="0"/>
              <w:spacing w:after="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Application Type:</w:t>
            </w:r>
          </w:p>
        </w:tc>
        <w:tc>
          <w:tcPr>
            <w:tcW w:w="6552" w:type="dxa"/>
            <w:shd w:val="pct25" w:color="000000" w:fill="FFFFFF"/>
            <w:vAlign w:val="center"/>
          </w:tcPr>
          <w:p w14:paraId="76EBCA13" w14:textId="77777777" w:rsidR="00097CF2" w:rsidRPr="00097CF2" w:rsidRDefault="00097CF2" w:rsidP="00097CF2">
            <w:pPr>
              <w:autoSpaceDE w:val="0"/>
              <w:autoSpaceDN w:val="0"/>
              <w:spacing w:after="0" w:line="240" w:lineRule="auto"/>
              <w:rPr>
                <w:rFonts w:ascii="Verdana" w:eastAsia="Times New Roman" w:hAnsi="Verdana" w:cs="Arial"/>
                <w:b/>
                <w:bCs/>
                <w:color w:val="000000"/>
                <w:sz w:val="18"/>
                <w:szCs w:val="18"/>
                <w:lang w:eastAsia="en-GB"/>
              </w:rPr>
            </w:pPr>
            <w:r w:rsidRPr="00097CF2">
              <w:rPr>
                <w:rFonts w:ascii="Verdana" w:eastAsia="Times New Roman" w:hAnsi="Verdana" w:cs="Arial"/>
                <w:b/>
                <w:bCs/>
                <w:color w:val="000000"/>
                <w:sz w:val="18"/>
                <w:szCs w:val="18"/>
                <w:lang w:eastAsia="en-GB"/>
              </w:rPr>
              <w:t>Full application</w:t>
            </w:r>
          </w:p>
        </w:tc>
      </w:tr>
    </w:tbl>
    <w:p w14:paraId="71B13EF9" w14:textId="77777777" w:rsidR="00097CF2" w:rsidRPr="00097CF2" w:rsidRDefault="00097CF2" w:rsidP="00097CF2">
      <w:pPr>
        <w:autoSpaceDE w:val="0"/>
        <w:autoSpaceDN w:val="0"/>
        <w:spacing w:after="0" w:line="240" w:lineRule="auto"/>
        <w:rPr>
          <w:rFonts w:ascii="Verdana" w:eastAsia="Times New Roman" w:hAnsi="Verdana" w:cs="Arial"/>
          <w:b/>
          <w:bCs/>
          <w:color w:val="000000"/>
          <w:lang w:eastAsia="en-GB"/>
        </w:rPr>
      </w:pPr>
    </w:p>
    <w:p w14:paraId="37C9BDB6" w14:textId="77777777" w:rsidR="00097CF2" w:rsidRPr="00097CF2" w:rsidRDefault="00097CF2" w:rsidP="00097CF2">
      <w:pPr>
        <w:autoSpaceDE w:val="0"/>
        <w:autoSpaceDN w:val="0"/>
        <w:spacing w:after="0" w:line="240" w:lineRule="auto"/>
        <w:jc w:val="both"/>
        <w:rPr>
          <w:rFonts w:ascii="Verdana" w:eastAsia="Times New Roman" w:hAnsi="Verdana" w:cs="Arial"/>
          <w:color w:val="000000"/>
          <w:lang w:eastAsia="en-GB"/>
        </w:rPr>
      </w:pPr>
    </w:p>
    <w:p w14:paraId="517FAE48" w14:textId="77777777" w:rsidR="00097CF2" w:rsidRPr="00097CF2" w:rsidRDefault="00097CF2" w:rsidP="00097CF2">
      <w:pPr>
        <w:autoSpaceDE w:val="0"/>
        <w:autoSpaceDN w:val="0"/>
        <w:spacing w:after="0" w:line="240" w:lineRule="auto"/>
        <w:rPr>
          <w:rFonts w:ascii="Verdana" w:eastAsia="Times New Roman" w:hAnsi="Verdana" w:cs="Arial"/>
          <w:color w:val="000000"/>
          <w:lang w:eastAsia="en-GB"/>
        </w:rPr>
      </w:pPr>
    </w:p>
    <w:tbl>
      <w:tblPr>
        <w:tblStyle w:val="TableGrid"/>
        <w:tblW w:w="0" w:type="auto"/>
        <w:tblInd w:w="0" w:type="dxa"/>
        <w:tblLook w:val="01E0" w:firstRow="1" w:lastRow="1" w:firstColumn="1" w:lastColumn="1" w:noHBand="0" w:noVBand="0"/>
      </w:tblPr>
      <w:tblGrid>
        <w:gridCol w:w="9628"/>
      </w:tblGrid>
      <w:tr w:rsidR="00097CF2" w:rsidRPr="00097CF2" w14:paraId="0865F52A" w14:textId="77777777" w:rsidTr="00A96D75">
        <w:tc>
          <w:tcPr>
            <w:tcW w:w="9854" w:type="dxa"/>
            <w:shd w:val="pct25" w:color="auto" w:fill="auto"/>
            <w:vAlign w:val="center"/>
          </w:tcPr>
          <w:p w14:paraId="2A4DDEB8" w14:textId="77777777" w:rsidR="00097CF2" w:rsidRPr="00097CF2" w:rsidRDefault="00097CF2" w:rsidP="00097CF2">
            <w:pPr>
              <w:autoSpaceDE w:val="0"/>
              <w:autoSpaceDN w:val="0"/>
              <w:spacing w:before="60" w:after="60"/>
              <w:rPr>
                <w:rFonts w:ascii="Verdana" w:hAnsi="Verdana"/>
                <w:b/>
                <w:bCs/>
                <w:color w:val="000000"/>
              </w:rPr>
            </w:pPr>
            <w:r w:rsidRPr="00097CF2">
              <w:rPr>
                <w:rFonts w:ascii="Verdana" w:hAnsi="Verdana"/>
                <w:b/>
                <w:bCs/>
                <w:color w:val="000000"/>
              </w:rPr>
              <w:t>Consultee representations:</w:t>
            </w:r>
          </w:p>
        </w:tc>
      </w:tr>
    </w:tbl>
    <w:p w14:paraId="4A7B0833" w14:textId="77777777" w:rsidR="00097CF2" w:rsidRPr="00097CF2" w:rsidRDefault="00097CF2" w:rsidP="00097CF2">
      <w:pPr>
        <w:autoSpaceDE w:val="0"/>
        <w:autoSpaceDN w:val="0"/>
        <w:spacing w:after="0" w:line="240" w:lineRule="auto"/>
        <w:ind w:left="851" w:hanging="851"/>
        <w:rPr>
          <w:rFonts w:ascii="Verdana" w:eastAsia="Times New Roman" w:hAnsi="Verdana" w:cs="Arial"/>
          <w:color w:val="000000"/>
          <w:lang w:eastAsia="en-GB"/>
        </w:rPr>
      </w:pPr>
    </w:p>
    <w:p w14:paraId="072EC024" w14:textId="7DC6239D" w:rsidR="00097CF2" w:rsidRPr="00097CF2" w:rsidRDefault="00D24448" w:rsidP="00A758F0">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 xml:space="preserve">No further consultee representations </w:t>
      </w:r>
      <w:r w:rsidR="00A758F0">
        <w:rPr>
          <w:rFonts w:ascii="Verdana" w:eastAsia="Times New Roman" w:hAnsi="Verdana" w:cs="Arial"/>
          <w:color w:val="000000"/>
          <w:lang w:eastAsia="en-GB"/>
        </w:rPr>
        <w:t>to those within the Committee Report and Update Report at Strategic Planning Committee on 16</w:t>
      </w:r>
      <w:r w:rsidR="00A758F0" w:rsidRPr="00A758F0">
        <w:rPr>
          <w:rFonts w:ascii="Verdana" w:eastAsia="Times New Roman" w:hAnsi="Verdana" w:cs="Arial"/>
          <w:color w:val="000000"/>
          <w:vertAlign w:val="superscript"/>
          <w:lang w:eastAsia="en-GB"/>
        </w:rPr>
        <w:t>th</w:t>
      </w:r>
      <w:r w:rsidR="00A758F0">
        <w:rPr>
          <w:rFonts w:ascii="Verdana" w:eastAsia="Times New Roman" w:hAnsi="Verdana" w:cs="Arial"/>
          <w:color w:val="000000"/>
          <w:lang w:eastAsia="en-GB"/>
        </w:rPr>
        <w:t xml:space="preserve"> December 2021.</w:t>
      </w:r>
    </w:p>
    <w:p w14:paraId="278DD3FC" w14:textId="77777777" w:rsidR="00097CF2" w:rsidRPr="00097CF2" w:rsidRDefault="00097CF2" w:rsidP="00097CF2">
      <w:pPr>
        <w:autoSpaceDE w:val="0"/>
        <w:autoSpaceDN w:val="0"/>
        <w:spacing w:after="0" w:line="240" w:lineRule="auto"/>
        <w:rPr>
          <w:rFonts w:ascii="Verdana" w:eastAsia="Times New Roman" w:hAnsi="Verdana" w:cs="Arial"/>
          <w:color w:val="000000"/>
          <w:lang w:eastAsia="en-GB"/>
        </w:rPr>
      </w:pPr>
    </w:p>
    <w:tbl>
      <w:tblPr>
        <w:tblStyle w:val="TableGrid"/>
        <w:tblW w:w="0" w:type="auto"/>
        <w:tblInd w:w="0" w:type="dxa"/>
        <w:tblLook w:val="01E0" w:firstRow="1" w:lastRow="1" w:firstColumn="1" w:lastColumn="1" w:noHBand="0" w:noVBand="0"/>
      </w:tblPr>
      <w:tblGrid>
        <w:gridCol w:w="9628"/>
      </w:tblGrid>
      <w:tr w:rsidR="00097CF2" w:rsidRPr="00097CF2" w14:paraId="2E3F2F09" w14:textId="77777777" w:rsidTr="00A96D75">
        <w:tc>
          <w:tcPr>
            <w:tcW w:w="9854" w:type="dxa"/>
            <w:shd w:val="pct25" w:color="auto" w:fill="auto"/>
            <w:vAlign w:val="center"/>
          </w:tcPr>
          <w:p w14:paraId="070A3927" w14:textId="77777777" w:rsidR="00097CF2" w:rsidRPr="00097CF2" w:rsidRDefault="00097CF2" w:rsidP="00097CF2">
            <w:pPr>
              <w:autoSpaceDE w:val="0"/>
              <w:autoSpaceDN w:val="0"/>
              <w:spacing w:before="60" w:after="60"/>
              <w:rPr>
                <w:rFonts w:ascii="Verdana" w:hAnsi="Verdana"/>
                <w:b/>
                <w:bCs/>
                <w:color w:val="000000"/>
              </w:rPr>
            </w:pPr>
            <w:r w:rsidRPr="00097CF2">
              <w:rPr>
                <w:rFonts w:ascii="Verdana" w:hAnsi="Verdana"/>
                <w:b/>
                <w:bCs/>
                <w:color w:val="000000"/>
              </w:rPr>
              <w:t>Constraints and designations:</w:t>
            </w:r>
          </w:p>
        </w:tc>
      </w:tr>
    </w:tbl>
    <w:p w14:paraId="48FC4A01" w14:textId="77777777" w:rsidR="00097CF2" w:rsidRPr="00097CF2" w:rsidRDefault="00097CF2" w:rsidP="00097CF2">
      <w:pPr>
        <w:autoSpaceDE w:val="0"/>
        <w:autoSpaceDN w:val="0"/>
        <w:spacing w:after="0" w:line="240" w:lineRule="auto"/>
        <w:ind w:left="3960" w:hanging="3960"/>
        <w:jc w:val="both"/>
        <w:rPr>
          <w:rFonts w:ascii="Verdana" w:eastAsia="Times New Roman" w:hAnsi="Verdana" w:cs="Arial"/>
          <w:color w:val="000000"/>
          <w:lang w:eastAsia="en-GB"/>
        </w:rPr>
      </w:pPr>
    </w:p>
    <w:p w14:paraId="11AFEB1F" w14:textId="52AA836A" w:rsidR="00097CF2" w:rsidRPr="00097CF2" w:rsidRDefault="00A758F0" w:rsidP="00A758F0">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 xml:space="preserve">As detailed within the Committee Report and Update Report </w:t>
      </w:r>
      <w:r w:rsidR="00267B2D">
        <w:rPr>
          <w:rFonts w:ascii="Verdana" w:eastAsia="Times New Roman" w:hAnsi="Verdana" w:cs="Arial"/>
          <w:color w:val="000000"/>
          <w:lang w:eastAsia="en-GB"/>
        </w:rPr>
        <w:t xml:space="preserve">provided </w:t>
      </w:r>
      <w:r>
        <w:rPr>
          <w:rFonts w:ascii="Verdana" w:eastAsia="Times New Roman" w:hAnsi="Verdana" w:cs="Arial"/>
          <w:color w:val="000000"/>
          <w:lang w:eastAsia="en-GB"/>
        </w:rPr>
        <w:t>at Strategic Planning Committee on 16</w:t>
      </w:r>
      <w:r w:rsidRPr="00A758F0">
        <w:rPr>
          <w:rFonts w:ascii="Verdana" w:eastAsia="Times New Roman" w:hAnsi="Verdana" w:cs="Arial"/>
          <w:color w:val="000000"/>
          <w:vertAlign w:val="superscript"/>
          <w:lang w:eastAsia="en-GB"/>
        </w:rPr>
        <w:t>th</w:t>
      </w:r>
      <w:r>
        <w:rPr>
          <w:rFonts w:ascii="Verdana" w:eastAsia="Times New Roman" w:hAnsi="Verdana" w:cs="Arial"/>
          <w:color w:val="000000"/>
          <w:lang w:eastAsia="en-GB"/>
        </w:rPr>
        <w:t xml:space="preserve"> December 2021.</w:t>
      </w:r>
    </w:p>
    <w:p w14:paraId="56EDE9B9" w14:textId="77777777" w:rsidR="00097CF2" w:rsidRPr="00097CF2" w:rsidRDefault="00097CF2" w:rsidP="00097CF2">
      <w:pPr>
        <w:autoSpaceDE w:val="0"/>
        <w:autoSpaceDN w:val="0"/>
        <w:spacing w:after="0" w:line="240" w:lineRule="auto"/>
        <w:jc w:val="both"/>
        <w:rPr>
          <w:rFonts w:ascii="Verdana" w:eastAsia="Times New Roman" w:hAnsi="Verdana" w:cs="Arial"/>
          <w:color w:val="000000"/>
          <w:lang w:eastAsia="en-GB"/>
        </w:rPr>
      </w:pPr>
    </w:p>
    <w:tbl>
      <w:tblPr>
        <w:tblStyle w:val="TableGrid"/>
        <w:tblW w:w="0" w:type="auto"/>
        <w:tblInd w:w="0" w:type="dxa"/>
        <w:tblLook w:val="01E0" w:firstRow="1" w:lastRow="1" w:firstColumn="1" w:lastColumn="1" w:noHBand="0" w:noVBand="0"/>
      </w:tblPr>
      <w:tblGrid>
        <w:gridCol w:w="9628"/>
      </w:tblGrid>
      <w:tr w:rsidR="00097CF2" w:rsidRPr="00097CF2" w14:paraId="3AE21C5E" w14:textId="77777777" w:rsidTr="00A96D75">
        <w:tc>
          <w:tcPr>
            <w:tcW w:w="9854" w:type="dxa"/>
            <w:shd w:val="pct25" w:color="auto" w:fill="auto"/>
            <w:vAlign w:val="center"/>
          </w:tcPr>
          <w:p w14:paraId="002C3461" w14:textId="77777777" w:rsidR="00097CF2" w:rsidRPr="00097CF2" w:rsidRDefault="00097CF2" w:rsidP="00097CF2">
            <w:pPr>
              <w:autoSpaceDE w:val="0"/>
              <w:autoSpaceDN w:val="0"/>
              <w:spacing w:before="60" w:after="60"/>
              <w:rPr>
                <w:rFonts w:ascii="Verdana" w:hAnsi="Verdana"/>
                <w:b/>
                <w:bCs/>
                <w:color w:val="000000"/>
              </w:rPr>
            </w:pPr>
            <w:r w:rsidRPr="00097CF2">
              <w:rPr>
                <w:rFonts w:ascii="Verdana" w:hAnsi="Verdana"/>
                <w:b/>
                <w:bCs/>
                <w:color w:val="000000"/>
              </w:rPr>
              <w:t>Relevant policies, SPGs and Government guidance:</w:t>
            </w:r>
          </w:p>
        </w:tc>
      </w:tr>
    </w:tbl>
    <w:p w14:paraId="0F6725A8" w14:textId="77777777" w:rsidR="00097CF2" w:rsidRPr="00097CF2" w:rsidRDefault="00097CF2" w:rsidP="00097CF2">
      <w:pPr>
        <w:autoSpaceDE w:val="0"/>
        <w:autoSpaceDN w:val="0"/>
        <w:spacing w:after="0" w:line="240" w:lineRule="auto"/>
        <w:jc w:val="both"/>
        <w:rPr>
          <w:rFonts w:ascii="Verdana" w:eastAsia="Times New Roman" w:hAnsi="Verdana" w:cs="Arial"/>
          <w:color w:val="000000"/>
          <w:lang w:eastAsia="en-GB"/>
        </w:rPr>
      </w:pPr>
    </w:p>
    <w:p w14:paraId="4CA9B2ED" w14:textId="0C75295B" w:rsidR="008D09A5" w:rsidRPr="00097CF2" w:rsidRDefault="008D09A5" w:rsidP="008D09A5">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 xml:space="preserve">As detailed within the Committee Report and Update Report </w:t>
      </w:r>
      <w:r w:rsidR="00267B2D">
        <w:rPr>
          <w:rFonts w:ascii="Verdana" w:eastAsia="Times New Roman" w:hAnsi="Verdana" w:cs="Arial"/>
          <w:color w:val="000000"/>
          <w:lang w:eastAsia="en-GB"/>
        </w:rPr>
        <w:t xml:space="preserve">provided </w:t>
      </w:r>
      <w:r>
        <w:rPr>
          <w:rFonts w:ascii="Verdana" w:eastAsia="Times New Roman" w:hAnsi="Verdana" w:cs="Arial"/>
          <w:color w:val="000000"/>
          <w:lang w:eastAsia="en-GB"/>
        </w:rPr>
        <w:t>at Strategic Planning Committee on 16</w:t>
      </w:r>
      <w:r w:rsidRPr="00A758F0">
        <w:rPr>
          <w:rFonts w:ascii="Verdana" w:eastAsia="Times New Roman" w:hAnsi="Verdana" w:cs="Arial"/>
          <w:color w:val="000000"/>
          <w:vertAlign w:val="superscript"/>
          <w:lang w:eastAsia="en-GB"/>
        </w:rPr>
        <w:t>th</w:t>
      </w:r>
      <w:r>
        <w:rPr>
          <w:rFonts w:ascii="Verdana" w:eastAsia="Times New Roman" w:hAnsi="Verdana" w:cs="Arial"/>
          <w:color w:val="000000"/>
          <w:lang w:eastAsia="en-GB"/>
        </w:rPr>
        <w:t xml:space="preserve"> December 2021.</w:t>
      </w:r>
    </w:p>
    <w:p w14:paraId="4300F2C7" w14:textId="77777777" w:rsidR="00097CF2" w:rsidRPr="00097CF2" w:rsidRDefault="00097CF2" w:rsidP="00097CF2">
      <w:pPr>
        <w:autoSpaceDE w:val="0"/>
        <w:autoSpaceDN w:val="0"/>
        <w:spacing w:after="0" w:line="240" w:lineRule="auto"/>
        <w:jc w:val="both"/>
        <w:rPr>
          <w:rFonts w:ascii="Verdana" w:eastAsia="Times New Roman" w:hAnsi="Verdana" w:cs="Arial"/>
          <w:color w:val="000000"/>
          <w:lang w:eastAsia="en-GB"/>
        </w:rPr>
      </w:pPr>
    </w:p>
    <w:tbl>
      <w:tblPr>
        <w:tblStyle w:val="TableGrid"/>
        <w:tblW w:w="0" w:type="auto"/>
        <w:tblInd w:w="0" w:type="dxa"/>
        <w:tblLook w:val="01E0" w:firstRow="1" w:lastRow="1" w:firstColumn="1" w:lastColumn="1" w:noHBand="0" w:noVBand="0"/>
      </w:tblPr>
      <w:tblGrid>
        <w:gridCol w:w="9628"/>
      </w:tblGrid>
      <w:tr w:rsidR="00097CF2" w:rsidRPr="00097CF2" w14:paraId="28DEE66B" w14:textId="77777777" w:rsidTr="00A96D75">
        <w:tc>
          <w:tcPr>
            <w:tcW w:w="9854" w:type="dxa"/>
            <w:shd w:val="pct25" w:color="auto" w:fill="auto"/>
            <w:vAlign w:val="center"/>
          </w:tcPr>
          <w:p w14:paraId="166E8487" w14:textId="77777777" w:rsidR="00097CF2" w:rsidRPr="00097CF2" w:rsidRDefault="00097CF2" w:rsidP="00097CF2">
            <w:pPr>
              <w:autoSpaceDE w:val="0"/>
              <w:autoSpaceDN w:val="0"/>
              <w:spacing w:before="60" w:after="60"/>
              <w:rPr>
                <w:rFonts w:ascii="Verdana" w:hAnsi="Verdana"/>
                <w:b/>
                <w:bCs/>
                <w:color w:val="000000"/>
              </w:rPr>
            </w:pPr>
            <w:r w:rsidRPr="00097CF2">
              <w:rPr>
                <w:rFonts w:ascii="Verdana" w:hAnsi="Verdana"/>
                <w:b/>
                <w:bCs/>
                <w:color w:val="000000"/>
              </w:rPr>
              <w:t>Appraisal/key issues and conclusion:</w:t>
            </w:r>
          </w:p>
        </w:tc>
      </w:tr>
    </w:tbl>
    <w:p w14:paraId="0A3A5344" w14:textId="77777777" w:rsidR="00097CF2" w:rsidRPr="00097CF2" w:rsidRDefault="00097CF2" w:rsidP="00097CF2">
      <w:pPr>
        <w:autoSpaceDE w:val="0"/>
        <w:autoSpaceDN w:val="0"/>
        <w:spacing w:after="0" w:line="240" w:lineRule="auto"/>
        <w:jc w:val="both"/>
        <w:rPr>
          <w:rFonts w:ascii="Verdana" w:eastAsia="Times New Roman" w:hAnsi="Verdana" w:cs="Arial"/>
          <w:color w:val="000000"/>
          <w:lang w:eastAsia="en-GB"/>
        </w:rPr>
      </w:pPr>
    </w:p>
    <w:p w14:paraId="6FB65F74" w14:textId="77777777" w:rsidR="00CF39E1" w:rsidRDefault="008469B7" w:rsidP="00CD09B0">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 xml:space="preserve">Strategic Planning Committee </w:t>
      </w:r>
      <w:r w:rsidR="00CD09B0">
        <w:rPr>
          <w:rFonts w:ascii="Verdana" w:eastAsia="Times New Roman" w:hAnsi="Verdana" w:cs="Arial"/>
          <w:color w:val="000000"/>
          <w:lang w:eastAsia="en-GB"/>
        </w:rPr>
        <w:t>at</w:t>
      </w:r>
      <w:r>
        <w:rPr>
          <w:rFonts w:ascii="Verdana" w:eastAsia="Times New Roman" w:hAnsi="Verdana" w:cs="Arial"/>
          <w:color w:val="000000"/>
          <w:lang w:eastAsia="en-GB"/>
        </w:rPr>
        <w:t xml:space="preserve"> </w:t>
      </w:r>
      <w:r w:rsidR="00CD09B0">
        <w:rPr>
          <w:rFonts w:ascii="Verdana" w:eastAsia="Times New Roman" w:hAnsi="Verdana" w:cs="Arial"/>
          <w:color w:val="000000"/>
          <w:lang w:eastAsia="en-GB"/>
        </w:rPr>
        <w:t xml:space="preserve">the meeting held </w:t>
      </w:r>
      <w:r>
        <w:rPr>
          <w:rFonts w:ascii="Verdana" w:eastAsia="Times New Roman" w:hAnsi="Verdana" w:cs="Arial"/>
          <w:color w:val="000000"/>
          <w:lang w:eastAsia="en-GB"/>
        </w:rPr>
        <w:t>16</w:t>
      </w:r>
      <w:r w:rsidRPr="008469B7">
        <w:rPr>
          <w:rFonts w:ascii="Verdana" w:eastAsia="Times New Roman" w:hAnsi="Verdana" w:cs="Arial"/>
          <w:color w:val="000000"/>
          <w:vertAlign w:val="superscript"/>
          <w:lang w:eastAsia="en-GB"/>
        </w:rPr>
        <w:t>th</w:t>
      </w:r>
      <w:r>
        <w:rPr>
          <w:rFonts w:ascii="Verdana" w:eastAsia="Times New Roman" w:hAnsi="Verdana" w:cs="Arial"/>
          <w:color w:val="000000"/>
          <w:lang w:eastAsia="en-GB"/>
        </w:rPr>
        <w:t xml:space="preserve"> December 2021 </w:t>
      </w:r>
      <w:r w:rsidR="00CD09B0">
        <w:rPr>
          <w:rFonts w:ascii="Verdana" w:eastAsia="Times New Roman" w:hAnsi="Verdana" w:cs="Arial"/>
          <w:color w:val="000000"/>
          <w:lang w:eastAsia="en-GB"/>
        </w:rPr>
        <w:t xml:space="preserve">resolved </w:t>
      </w:r>
      <w:r w:rsidR="00CD09B0" w:rsidRPr="00CD09B0">
        <w:rPr>
          <w:rFonts w:ascii="Verdana" w:eastAsia="Times New Roman" w:hAnsi="Verdana" w:cs="Arial"/>
          <w:color w:val="000000"/>
          <w:lang w:eastAsia="en-GB"/>
        </w:rPr>
        <w:t>that</w:t>
      </w:r>
      <w:r w:rsidR="00CF39E1">
        <w:rPr>
          <w:rFonts w:ascii="Verdana" w:eastAsia="Times New Roman" w:hAnsi="Verdana" w:cs="Arial"/>
          <w:color w:val="000000"/>
          <w:lang w:eastAsia="en-GB"/>
        </w:rPr>
        <w:t>;</w:t>
      </w:r>
    </w:p>
    <w:p w14:paraId="2EA50519" w14:textId="77777777" w:rsidR="00CF39E1" w:rsidRDefault="00CF39E1" w:rsidP="00CD09B0">
      <w:pPr>
        <w:autoSpaceDE w:val="0"/>
        <w:autoSpaceDN w:val="0"/>
        <w:spacing w:after="0" w:line="240" w:lineRule="auto"/>
        <w:jc w:val="both"/>
        <w:rPr>
          <w:rFonts w:ascii="Verdana" w:eastAsia="Times New Roman" w:hAnsi="Verdana" w:cs="Arial"/>
          <w:color w:val="000000"/>
          <w:lang w:eastAsia="en-GB"/>
        </w:rPr>
      </w:pPr>
    </w:p>
    <w:p w14:paraId="21CBFF80" w14:textId="0BC16F3F" w:rsidR="00CD09B0" w:rsidRPr="00CD09B0" w:rsidRDefault="00CF39E1" w:rsidP="00CD09B0">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w:t>
      </w:r>
      <w:r w:rsidR="00CD09B0" w:rsidRPr="00CD09B0">
        <w:rPr>
          <w:rFonts w:ascii="Verdana" w:eastAsia="Times New Roman" w:hAnsi="Verdana" w:cs="Arial"/>
          <w:color w:val="000000"/>
          <w:lang w:eastAsia="en-GB"/>
        </w:rPr>
        <w:t xml:space="preserve">delegated authority be granted to the Head of Development Management to approve </w:t>
      </w:r>
      <w:r w:rsidR="00954A26">
        <w:rPr>
          <w:rFonts w:ascii="Verdana" w:eastAsia="Times New Roman" w:hAnsi="Verdana" w:cs="Arial"/>
          <w:color w:val="000000"/>
          <w:lang w:eastAsia="en-GB"/>
        </w:rPr>
        <w:t>this application</w:t>
      </w:r>
      <w:r w:rsidR="00CD09B0" w:rsidRPr="00CD09B0">
        <w:rPr>
          <w:rFonts w:ascii="Verdana" w:eastAsia="Times New Roman" w:hAnsi="Verdana" w:cs="Arial"/>
          <w:color w:val="000000"/>
          <w:lang w:eastAsia="en-GB"/>
        </w:rPr>
        <w:t xml:space="preserve"> as set out in the Committee Update subject to an amendment to Condition 10 to require details of specialist advice on mining features within any Neighbourhood Design Code.</w:t>
      </w:r>
    </w:p>
    <w:p w14:paraId="2A15A1C0" w14:textId="77777777" w:rsidR="00CD09B0" w:rsidRPr="00CD09B0" w:rsidRDefault="00CD09B0" w:rsidP="00CD09B0">
      <w:pPr>
        <w:autoSpaceDE w:val="0"/>
        <w:autoSpaceDN w:val="0"/>
        <w:spacing w:after="0" w:line="240" w:lineRule="auto"/>
        <w:jc w:val="both"/>
        <w:rPr>
          <w:rFonts w:ascii="Verdana" w:eastAsia="Times New Roman" w:hAnsi="Verdana" w:cs="Arial"/>
          <w:color w:val="000000"/>
          <w:lang w:eastAsia="en-GB"/>
        </w:rPr>
      </w:pPr>
    </w:p>
    <w:p w14:paraId="3D027259" w14:textId="3C253F74" w:rsidR="00CD09B0" w:rsidRPr="00CD09B0" w:rsidRDefault="00CD09B0" w:rsidP="00CD09B0">
      <w:pPr>
        <w:autoSpaceDE w:val="0"/>
        <w:autoSpaceDN w:val="0"/>
        <w:spacing w:after="0" w:line="240" w:lineRule="auto"/>
        <w:jc w:val="both"/>
        <w:rPr>
          <w:rFonts w:ascii="Verdana" w:eastAsia="Times New Roman" w:hAnsi="Verdana" w:cs="Arial"/>
          <w:color w:val="000000"/>
          <w:lang w:eastAsia="en-GB"/>
        </w:rPr>
      </w:pPr>
      <w:r w:rsidRPr="00CD09B0">
        <w:rPr>
          <w:rFonts w:ascii="Verdana" w:eastAsia="Times New Roman" w:hAnsi="Verdana" w:cs="Arial"/>
          <w:color w:val="000000"/>
          <w:lang w:eastAsia="en-GB"/>
        </w:rPr>
        <w:t>A) conditions as set out in the Committee report or as amended below or similar as may be agreed under delegated authority given to the Head of Development Management and;</w:t>
      </w:r>
    </w:p>
    <w:p w14:paraId="21E9827F" w14:textId="77777777" w:rsidR="00CD09B0" w:rsidRPr="00CD09B0" w:rsidRDefault="00CD09B0" w:rsidP="00CD09B0">
      <w:pPr>
        <w:autoSpaceDE w:val="0"/>
        <w:autoSpaceDN w:val="0"/>
        <w:spacing w:after="0" w:line="240" w:lineRule="auto"/>
        <w:jc w:val="both"/>
        <w:rPr>
          <w:rFonts w:ascii="Verdana" w:eastAsia="Times New Roman" w:hAnsi="Verdana" w:cs="Arial"/>
          <w:color w:val="000000"/>
          <w:lang w:eastAsia="en-GB"/>
        </w:rPr>
      </w:pPr>
    </w:p>
    <w:p w14:paraId="7A991A9C" w14:textId="60E8909C" w:rsidR="00097CF2" w:rsidRDefault="00CD09B0" w:rsidP="00CD09B0">
      <w:pPr>
        <w:autoSpaceDE w:val="0"/>
        <w:autoSpaceDN w:val="0"/>
        <w:spacing w:after="0" w:line="240" w:lineRule="auto"/>
        <w:jc w:val="both"/>
        <w:rPr>
          <w:rFonts w:ascii="Verdana" w:eastAsia="Times New Roman" w:hAnsi="Verdana" w:cs="Arial"/>
          <w:color w:val="000000"/>
          <w:lang w:eastAsia="en-GB"/>
        </w:rPr>
      </w:pPr>
      <w:r w:rsidRPr="00CD09B0">
        <w:rPr>
          <w:rFonts w:ascii="Verdana" w:eastAsia="Times New Roman" w:hAnsi="Verdana" w:cs="Arial"/>
          <w:color w:val="000000"/>
          <w:lang w:eastAsia="en-GB"/>
        </w:rPr>
        <w:t>B) completion of a Section 106 Obligation to deliver appropriate infrastructure and mitigation as may be agreed under delegated authority given to the Head of Development Management. Matters to reflect the Heads of Terms as agreed between the Applicant and LPA and to include no less than t</w:t>
      </w:r>
      <w:r w:rsidR="001D50DD">
        <w:rPr>
          <w:rFonts w:ascii="Verdana" w:eastAsia="Times New Roman" w:hAnsi="Verdana" w:cs="Arial"/>
          <w:color w:val="000000"/>
          <w:lang w:eastAsia="en-GB"/>
        </w:rPr>
        <w:t>hose measures specified in the Heads of Terms</w:t>
      </w:r>
      <w:r w:rsidR="00CF39E1">
        <w:rPr>
          <w:rFonts w:ascii="Verdana" w:eastAsia="Times New Roman" w:hAnsi="Verdana" w:cs="Arial"/>
          <w:color w:val="000000"/>
          <w:lang w:eastAsia="en-GB"/>
        </w:rPr>
        <w:t>”.</w:t>
      </w:r>
    </w:p>
    <w:p w14:paraId="08AC58C0" w14:textId="56D57B1D" w:rsidR="00285D31" w:rsidRDefault="00285D31" w:rsidP="00CD09B0">
      <w:pPr>
        <w:autoSpaceDE w:val="0"/>
        <w:autoSpaceDN w:val="0"/>
        <w:spacing w:after="0" w:line="240" w:lineRule="auto"/>
        <w:jc w:val="both"/>
        <w:rPr>
          <w:rFonts w:ascii="Verdana" w:eastAsia="Times New Roman" w:hAnsi="Verdana" w:cs="Arial"/>
          <w:color w:val="000000"/>
          <w:lang w:eastAsia="en-GB"/>
        </w:rPr>
      </w:pPr>
    </w:p>
    <w:p w14:paraId="4A444019" w14:textId="7E83072A" w:rsidR="005E624D" w:rsidRDefault="00DD331B" w:rsidP="00CD09B0">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 xml:space="preserve">Post the </w:t>
      </w:r>
      <w:r w:rsidR="00442456">
        <w:rPr>
          <w:rFonts w:ascii="Verdana" w:eastAsia="Times New Roman" w:hAnsi="Verdana" w:cs="Arial"/>
          <w:color w:val="000000"/>
          <w:lang w:eastAsia="en-GB"/>
        </w:rPr>
        <w:t>committee resolution the Section 106 Obligation</w:t>
      </w:r>
      <w:r w:rsidR="003003B4">
        <w:rPr>
          <w:rFonts w:ascii="Verdana" w:eastAsia="Times New Roman" w:hAnsi="Verdana" w:cs="Arial"/>
          <w:color w:val="000000"/>
          <w:lang w:eastAsia="en-GB"/>
        </w:rPr>
        <w:t xml:space="preserve"> and </w:t>
      </w:r>
      <w:r w:rsidR="001F0A1B">
        <w:rPr>
          <w:rFonts w:ascii="Verdana" w:eastAsia="Times New Roman" w:hAnsi="Verdana" w:cs="Arial"/>
          <w:color w:val="000000"/>
          <w:lang w:eastAsia="en-GB"/>
        </w:rPr>
        <w:t xml:space="preserve">planning </w:t>
      </w:r>
      <w:r w:rsidR="003003B4">
        <w:rPr>
          <w:rFonts w:ascii="Verdana" w:eastAsia="Times New Roman" w:hAnsi="Verdana" w:cs="Arial"/>
          <w:color w:val="000000"/>
          <w:lang w:eastAsia="en-GB"/>
        </w:rPr>
        <w:t>conditions</w:t>
      </w:r>
      <w:r w:rsidR="00442456">
        <w:rPr>
          <w:rFonts w:ascii="Verdana" w:eastAsia="Times New Roman" w:hAnsi="Verdana" w:cs="Arial"/>
          <w:color w:val="000000"/>
          <w:lang w:eastAsia="en-GB"/>
        </w:rPr>
        <w:t xml:space="preserve"> ha</w:t>
      </w:r>
      <w:r w:rsidR="003003B4">
        <w:rPr>
          <w:rFonts w:ascii="Verdana" w:eastAsia="Times New Roman" w:hAnsi="Verdana" w:cs="Arial"/>
          <w:color w:val="000000"/>
          <w:lang w:eastAsia="en-GB"/>
        </w:rPr>
        <w:t>ve</w:t>
      </w:r>
      <w:r w:rsidR="00442456">
        <w:rPr>
          <w:rFonts w:ascii="Verdana" w:eastAsia="Times New Roman" w:hAnsi="Verdana" w:cs="Arial"/>
          <w:color w:val="000000"/>
          <w:lang w:eastAsia="en-GB"/>
        </w:rPr>
        <w:t xml:space="preserve"> been </w:t>
      </w:r>
      <w:r w:rsidR="00647BC9">
        <w:rPr>
          <w:rFonts w:ascii="Verdana" w:eastAsia="Times New Roman" w:hAnsi="Verdana" w:cs="Arial"/>
          <w:color w:val="000000"/>
          <w:lang w:eastAsia="en-GB"/>
        </w:rPr>
        <w:t>d</w:t>
      </w:r>
      <w:r w:rsidR="00442456">
        <w:rPr>
          <w:rFonts w:ascii="Verdana" w:eastAsia="Times New Roman" w:hAnsi="Verdana" w:cs="Arial"/>
          <w:color w:val="000000"/>
          <w:lang w:eastAsia="en-GB"/>
        </w:rPr>
        <w:t>iscussed with the applicant</w:t>
      </w:r>
      <w:r w:rsidR="00647BC9">
        <w:rPr>
          <w:rFonts w:ascii="Verdana" w:eastAsia="Times New Roman" w:hAnsi="Verdana" w:cs="Arial"/>
          <w:color w:val="000000"/>
          <w:lang w:eastAsia="en-GB"/>
        </w:rPr>
        <w:t xml:space="preserve"> and drafted or reviewed as appropriate</w:t>
      </w:r>
      <w:r w:rsidR="00D8426D">
        <w:rPr>
          <w:rFonts w:ascii="Verdana" w:eastAsia="Times New Roman" w:hAnsi="Verdana" w:cs="Arial"/>
          <w:color w:val="000000"/>
          <w:lang w:eastAsia="en-GB"/>
        </w:rPr>
        <w:t>.</w:t>
      </w:r>
      <w:r w:rsidR="00F20C84">
        <w:rPr>
          <w:rFonts w:ascii="Verdana" w:eastAsia="Times New Roman" w:hAnsi="Verdana" w:cs="Arial"/>
          <w:color w:val="000000"/>
          <w:lang w:eastAsia="en-GB"/>
        </w:rPr>
        <w:t xml:space="preserve"> </w:t>
      </w:r>
      <w:r w:rsidR="00D8426D">
        <w:rPr>
          <w:rFonts w:ascii="Verdana" w:eastAsia="Times New Roman" w:hAnsi="Verdana" w:cs="Arial"/>
          <w:color w:val="000000"/>
          <w:lang w:eastAsia="en-GB"/>
        </w:rPr>
        <w:t xml:space="preserve">In </w:t>
      </w:r>
      <w:r w:rsidR="008E67BF">
        <w:rPr>
          <w:rFonts w:ascii="Verdana" w:eastAsia="Times New Roman" w:hAnsi="Verdana" w:cs="Arial"/>
          <w:color w:val="000000"/>
          <w:lang w:eastAsia="en-GB"/>
        </w:rPr>
        <w:t>addition,</w:t>
      </w:r>
      <w:r w:rsidR="00D8426D">
        <w:rPr>
          <w:rFonts w:ascii="Verdana" w:eastAsia="Times New Roman" w:hAnsi="Verdana" w:cs="Arial"/>
          <w:color w:val="000000"/>
          <w:lang w:eastAsia="en-GB"/>
        </w:rPr>
        <w:t xml:space="preserve"> d</w:t>
      </w:r>
      <w:r w:rsidR="00F20C84">
        <w:rPr>
          <w:rFonts w:ascii="Verdana" w:eastAsia="Times New Roman" w:hAnsi="Verdana" w:cs="Arial"/>
          <w:color w:val="000000"/>
          <w:lang w:eastAsia="en-GB"/>
        </w:rPr>
        <w:t>iscussion</w:t>
      </w:r>
      <w:r w:rsidR="00D8426D">
        <w:rPr>
          <w:rFonts w:ascii="Verdana" w:eastAsia="Times New Roman" w:hAnsi="Verdana" w:cs="Arial"/>
          <w:color w:val="000000"/>
          <w:lang w:eastAsia="en-GB"/>
        </w:rPr>
        <w:t>s</w:t>
      </w:r>
      <w:r w:rsidR="00F20C84">
        <w:rPr>
          <w:rFonts w:ascii="Verdana" w:eastAsia="Times New Roman" w:hAnsi="Verdana" w:cs="Arial"/>
          <w:color w:val="000000"/>
          <w:lang w:eastAsia="en-GB"/>
        </w:rPr>
        <w:t xml:space="preserve"> with Devon and Cornwall Police regarding a</w:t>
      </w:r>
      <w:r w:rsidR="003B42C8">
        <w:rPr>
          <w:rFonts w:ascii="Verdana" w:eastAsia="Times New Roman" w:hAnsi="Verdana" w:cs="Arial"/>
          <w:color w:val="000000"/>
          <w:lang w:eastAsia="en-GB"/>
        </w:rPr>
        <w:t xml:space="preserve"> Section 106</w:t>
      </w:r>
      <w:r w:rsidR="00F20C84">
        <w:rPr>
          <w:rFonts w:ascii="Verdana" w:eastAsia="Times New Roman" w:hAnsi="Verdana" w:cs="Arial"/>
          <w:color w:val="000000"/>
          <w:lang w:eastAsia="en-GB"/>
        </w:rPr>
        <w:t xml:space="preserve"> contribution ha</w:t>
      </w:r>
      <w:r w:rsidR="00D8426D">
        <w:rPr>
          <w:rFonts w:ascii="Verdana" w:eastAsia="Times New Roman" w:hAnsi="Verdana" w:cs="Arial"/>
          <w:color w:val="000000"/>
          <w:lang w:eastAsia="en-GB"/>
        </w:rPr>
        <w:t>ve</w:t>
      </w:r>
      <w:r w:rsidR="00F20C84">
        <w:rPr>
          <w:rFonts w:ascii="Verdana" w:eastAsia="Times New Roman" w:hAnsi="Verdana" w:cs="Arial"/>
          <w:color w:val="000000"/>
          <w:lang w:eastAsia="en-GB"/>
        </w:rPr>
        <w:t xml:space="preserve"> </w:t>
      </w:r>
      <w:r w:rsidR="005E624D">
        <w:rPr>
          <w:rFonts w:ascii="Verdana" w:eastAsia="Times New Roman" w:hAnsi="Verdana" w:cs="Arial"/>
          <w:color w:val="000000"/>
          <w:lang w:eastAsia="en-GB"/>
        </w:rPr>
        <w:t>taken place</w:t>
      </w:r>
      <w:r w:rsidR="00D8426D">
        <w:rPr>
          <w:rFonts w:ascii="Verdana" w:eastAsia="Times New Roman" w:hAnsi="Verdana" w:cs="Arial"/>
          <w:color w:val="000000"/>
          <w:lang w:eastAsia="en-GB"/>
        </w:rPr>
        <w:t xml:space="preserve"> post</w:t>
      </w:r>
      <w:r w:rsidR="00BE394C">
        <w:rPr>
          <w:rFonts w:ascii="Verdana" w:eastAsia="Times New Roman" w:hAnsi="Verdana" w:cs="Arial"/>
          <w:color w:val="000000"/>
          <w:lang w:eastAsia="en-GB"/>
        </w:rPr>
        <w:t xml:space="preserve"> Strategic Planning Committee</w:t>
      </w:r>
      <w:r w:rsidR="00D8426D">
        <w:rPr>
          <w:rFonts w:ascii="Verdana" w:eastAsia="Times New Roman" w:hAnsi="Verdana" w:cs="Arial"/>
          <w:color w:val="000000"/>
          <w:lang w:eastAsia="en-GB"/>
        </w:rPr>
        <w:t xml:space="preserve"> </w:t>
      </w:r>
      <w:r w:rsidR="00BE394C">
        <w:rPr>
          <w:rFonts w:ascii="Verdana" w:eastAsia="Times New Roman" w:hAnsi="Verdana" w:cs="Arial"/>
          <w:color w:val="000000"/>
          <w:lang w:eastAsia="en-GB"/>
        </w:rPr>
        <w:t>(“</w:t>
      </w:r>
      <w:r w:rsidR="00D8426D">
        <w:rPr>
          <w:rFonts w:ascii="Verdana" w:eastAsia="Times New Roman" w:hAnsi="Verdana" w:cs="Arial"/>
          <w:color w:val="000000"/>
          <w:lang w:eastAsia="en-GB"/>
        </w:rPr>
        <w:t>SPC</w:t>
      </w:r>
      <w:r w:rsidR="00BE394C">
        <w:rPr>
          <w:rFonts w:ascii="Verdana" w:eastAsia="Times New Roman" w:hAnsi="Verdana" w:cs="Arial"/>
          <w:color w:val="000000"/>
          <w:lang w:eastAsia="en-GB"/>
        </w:rPr>
        <w:t>”)</w:t>
      </w:r>
      <w:r w:rsidR="005E624D">
        <w:rPr>
          <w:rFonts w:ascii="Verdana" w:eastAsia="Times New Roman" w:hAnsi="Verdana" w:cs="Arial"/>
          <w:color w:val="000000"/>
          <w:lang w:eastAsia="en-GB"/>
        </w:rPr>
        <w:t xml:space="preserve">.  </w:t>
      </w:r>
    </w:p>
    <w:p w14:paraId="42B0BCB5" w14:textId="11444A04" w:rsidR="00BE394C" w:rsidRDefault="00BE394C" w:rsidP="00CD09B0">
      <w:pPr>
        <w:autoSpaceDE w:val="0"/>
        <w:autoSpaceDN w:val="0"/>
        <w:spacing w:after="0" w:line="240" w:lineRule="auto"/>
        <w:jc w:val="both"/>
        <w:rPr>
          <w:rFonts w:ascii="Verdana" w:eastAsia="Times New Roman" w:hAnsi="Verdana" w:cs="Arial"/>
          <w:color w:val="000000"/>
          <w:lang w:eastAsia="en-GB"/>
        </w:rPr>
      </w:pPr>
    </w:p>
    <w:p w14:paraId="03D84244" w14:textId="784DC4D2" w:rsidR="00BE394C" w:rsidRPr="00BE394C" w:rsidRDefault="00BE394C" w:rsidP="00CD09B0">
      <w:pPr>
        <w:autoSpaceDE w:val="0"/>
        <w:autoSpaceDN w:val="0"/>
        <w:spacing w:after="0" w:line="240" w:lineRule="auto"/>
        <w:jc w:val="both"/>
        <w:rPr>
          <w:rFonts w:ascii="Verdana" w:eastAsia="Times New Roman" w:hAnsi="Verdana" w:cs="Arial"/>
          <w:b/>
          <w:bCs/>
          <w:color w:val="000000"/>
          <w:lang w:eastAsia="en-GB"/>
        </w:rPr>
      </w:pPr>
      <w:r w:rsidRPr="00BE394C">
        <w:rPr>
          <w:rFonts w:ascii="Verdana" w:eastAsia="Times New Roman" w:hAnsi="Verdana" w:cs="Arial"/>
          <w:b/>
          <w:bCs/>
          <w:color w:val="000000"/>
          <w:lang w:eastAsia="en-GB"/>
        </w:rPr>
        <w:t xml:space="preserve">Police Contribution </w:t>
      </w:r>
    </w:p>
    <w:p w14:paraId="5A849CC1" w14:textId="77777777" w:rsidR="00BE394C" w:rsidRDefault="00BE394C" w:rsidP="00CD09B0">
      <w:pPr>
        <w:autoSpaceDE w:val="0"/>
        <w:autoSpaceDN w:val="0"/>
        <w:spacing w:after="0" w:line="240" w:lineRule="auto"/>
        <w:jc w:val="both"/>
        <w:rPr>
          <w:rFonts w:ascii="Verdana" w:eastAsia="Times New Roman" w:hAnsi="Verdana" w:cs="Arial"/>
          <w:color w:val="000000"/>
          <w:lang w:eastAsia="en-GB"/>
        </w:rPr>
      </w:pPr>
    </w:p>
    <w:p w14:paraId="0D7E960A" w14:textId="1DB60024" w:rsidR="00955382" w:rsidRPr="00955382" w:rsidRDefault="00955382" w:rsidP="00955382">
      <w:pPr>
        <w:autoSpaceDE w:val="0"/>
        <w:autoSpaceDN w:val="0"/>
        <w:spacing w:after="0" w:line="240" w:lineRule="auto"/>
        <w:jc w:val="both"/>
        <w:rPr>
          <w:rFonts w:ascii="Verdana" w:eastAsia="Times New Roman" w:hAnsi="Verdana" w:cs="Arial"/>
          <w:color w:val="000000"/>
          <w:lang w:eastAsia="en-GB"/>
        </w:rPr>
      </w:pPr>
      <w:r w:rsidRPr="00955382">
        <w:rPr>
          <w:rFonts w:ascii="Verdana" w:eastAsia="Times New Roman" w:hAnsi="Verdana" w:cs="Arial"/>
          <w:color w:val="000000"/>
          <w:lang w:eastAsia="en-GB"/>
        </w:rPr>
        <w:t>In their representation to the Local Planning Authority</w:t>
      </w:r>
      <w:r w:rsidR="00EA77E8">
        <w:rPr>
          <w:rFonts w:ascii="Verdana" w:eastAsia="Times New Roman" w:hAnsi="Verdana" w:cs="Arial"/>
          <w:color w:val="000000"/>
          <w:lang w:eastAsia="en-GB"/>
        </w:rPr>
        <w:t>,</w:t>
      </w:r>
      <w:r w:rsidRPr="00955382">
        <w:rPr>
          <w:rFonts w:ascii="Verdana" w:eastAsia="Times New Roman" w:hAnsi="Verdana" w:cs="Arial"/>
          <w:color w:val="000000"/>
          <w:lang w:eastAsia="en-GB"/>
        </w:rPr>
        <w:t xml:space="preserve"> the office of the Police and </w:t>
      </w:r>
      <w:r>
        <w:rPr>
          <w:rFonts w:ascii="Verdana" w:eastAsia="Times New Roman" w:hAnsi="Verdana" w:cs="Arial"/>
          <w:color w:val="000000"/>
          <w:lang w:eastAsia="en-GB"/>
        </w:rPr>
        <w:t>C</w:t>
      </w:r>
      <w:r w:rsidRPr="00955382">
        <w:rPr>
          <w:rFonts w:ascii="Verdana" w:eastAsia="Times New Roman" w:hAnsi="Verdana" w:cs="Arial"/>
          <w:color w:val="000000"/>
          <w:lang w:eastAsia="en-GB"/>
        </w:rPr>
        <w:t>rime commissioner for Devon and Cornwall submitted a request for a contribution towards the additional cost of meeting the policing costs that would be generated by the Langarth development. This request had two elements.</w:t>
      </w:r>
    </w:p>
    <w:p w14:paraId="4C4EC650" w14:textId="77777777" w:rsidR="00955382" w:rsidRPr="00955382" w:rsidRDefault="00955382" w:rsidP="00955382">
      <w:pPr>
        <w:autoSpaceDE w:val="0"/>
        <w:autoSpaceDN w:val="0"/>
        <w:spacing w:after="0" w:line="240" w:lineRule="auto"/>
        <w:jc w:val="both"/>
        <w:rPr>
          <w:rFonts w:ascii="Verdana" w:eastAsia="Times New Roman" w:hAnsi="Verdana" w:cs="Arial"/>
          <w:color w:val="000000"/>
          <w:lang w:eastAsia="en-GB"/>
        </w:rPr>
      </w:pPr>
    </w:p>
    <w:p w14:paraId="051ACC40" w14:textId="05D5F95C" w:rsidR="00955382" w:rsidRPr="00955382" w:rsidRDefault="00955382" w:rsidP="00955382">
      <w:pPr>
        <w:autoSpaceDE w:val="0"/>
        <w:autoSpaceDN w:val="0"/>
        <w:spacing w:after="0" w:line="240" w:lineRule="auto"/>
        <w:jc w:val="both"/>
        <w:rPr>
          <w:rFonts w:ascii="Verdana" w:eastAsia="Times New Roman" w:hAnsi="Verdana" w:cs="Arial"/>
          <w:color w:val="000000"/>
          <w:lang w:eastAsia="en-GB"/>
        </w:rPr>
      </w:pPr>
      <w:r w:rsidRPr="00955382">
        <w:rPr>
          <w:rFonts w:ascii="Verdana" w:eastAsia="Times New Roman" w:hAnsi="Verdana" w:cs="Arial"/>
          <w:color w:val="000000"/>
          <w:lang w:eastAsia="en-GB"/>
        </w:rPr>
        <w:t xml:space="preserve">1. </w:t>
      </w:r>
      <w:r w:rsidRPr="00955382">
        <w:rPr>
          <w:rFonts w:ascii="Verdana" w:eastAsia="Times New Roman" w:hAnsi="Verdana" w:cs="Arial"/>
          <w:color w:val="000000"/>
          <w:lang w:eastAsia="en-GB"/>
        </w:rPr>
        <w:tab/>
        <w:t>A contribution towards the costs of</w:t>
      </w:r>
      <w:r w:rsidR="00BE394C">
        <w:rPr>
          <w:rFonts w:ascii="Verdana" w:eastAsia="Times New Roman" w:hAnsi="Verdana" w:cs="Arial"/>
          <w:color w:val="000000"/>
          <w:lang w:eastAsia="en-GB"/>
        </w:rPr>
        <w:t xml:space="preserve"> personnel infrastructure (essentially, new police equipment)</w:t>
      </w:r>
      <w:r w:rsidRPr="00955382">
        <w:rPr>
          <w:rFonts w:ascii="Verdana" w:eastAsia="Times New Roman" w:hAnsi="Verdana" w:cs="Arial"/>
          <w:color w:val="000000"/>
          <w:lang w:eastAsia="en-GB"/>
        </w:rPr>
        <w:t>.</w:t>
      </w:r>
    </w:p>
    <w:p w14:paraId="5B3E74A7" w14:textId="7CCBE05C" w:rsidR="005E624D" w:rsidRDefault="00955382" w:rsidP="00955382">
      <w:pPr>
        <w:autoSpaceDE w:val="0"/>
        <w:autoSpaceDN w:val="0"/>
        <w:spacing w:after="0" w:line="240" w:lineRule="auto"/>
        <w:jc w:val="both"/>
        <w:rPr>
          <w:rFonts w:ascii="Verdana" w:eastAsia="Times New Roman" w:hAnsi="Verdana" w:cs="Arial"/>
          <w:color w:val="000000"/>
          <w:lang w:eastAsia="en-GB"/>
        </w:rPr>
      </w:pPr>
      <w:r w:rsidRPr="00955382">
        <w:rPr>
          <w:rFonts w:ascii="Verdana" w:eastAsia="Times New Roman" w:hAnsi="Verdana" w:cs="Arial"/>
          <w:color w:val="000000"/>
          <w:lang w:eastAsia="en-GB"/>
        </w:rPr>
        <w:t>2.</w:t>
      </w:r>
      <w:r w:rsidRPr="00955382">
        <w:rPr>
          <w:rFonts w:ascii="Verdana" w:eastAsia="Times New Roman" w:hAnsi="Verdana" w:cs="Arial"/>
          <w:color w:val="000000"/>
          <w:lang w:eastAsia="en-GB"/>
        </w:rPr>
        <w:tab/>
        <w:t>A contribution towards the delivery of a new police station.</w:t>
      </w:r>
    </w:p>
    <w:p w14:paraId="4B0D201C" w14:textId="5195ABDD" w:rsidR="005E624D" w:rsidRDefault="005E624D" w:rsidP="00CD09B0">
      <w:pPr>
        <w:autoSpaceDE w:val="0"/>
        <w:autoSpaceDN w:val="0"/>
        <w:spacing w:after="0" w:line="240" w:lineRule="auto"/>
        <w:jc w:val="both"/>
        <w:rPr>
          <w:rFonts w:ascii="Verdana" w:eastAsia="Times New Roman" w:hAnsi="Verdana" w:cs="Arial"/>
          <w:color w:val="000000"/>
          <w:lang w:eastAsia="en-GB"/>
        </w:rPr>
      </w:pPr>
    </w:p>
    <w:p w14:paraId="6DFD717E" w14:textId="092484D0" w:rsidR="00BE394C" w:rsidRDefault="00BE394C" w:rsidP="00CD09B0">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The LPA were not, prior to SPC, satisfied that the Police request was fully CIL Regulation 122 compliant i.e. that the contributions sought by the police were (a) necessary; (b) directly related to the Langarth development or (c) fairly and reasonably related in scale and kind to the Lnagarth development. The LPA’s preliminary reasoning is set out in the Update Report. However, the LPA and applicant indicated a willingness to continue discussions and test the evidence with the Police, post SPC.</w:t>
      </w:r>
    </w:p>
    <w:p w14:paraId="75EE7D4A" w14:textId="77777777" w:rsidR="00BE394C" w:rsidRDefault="00BE394C" w:rsidP="00CD09B0">
      <w:pPr>
        <w:autoSpaceDE w:val="0"/>
        <w:autoSpaceDN w:val="0"/>
        <w:spacing w:after="0" w:line="240" w:lineRule="auto"/>
        <w:jc w:val="both"/>
        <w:rPr>
          <w:rFonts w:ascii="Verdana" w:eastAsia="Times New Roman" w:hAnsi="Verdana" w:cs="Arial"/>
          <w:color w:val="000000"/>
          <w:lang w:eastAsia="en-GB"/>
        </w:rPr>
      </w:pPr>
    </w:p>
    <w:p w14:paraId="55612C50" w14:textId="328D76BA" w:rsidR="00BE394C" w:rsidRDefault="008E67BF" w:rsidP="00CD09B0">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lastRenderedPageBreak/>
        <w:t>Following such</w:t>
      </w:r>
      <w:r w:rsidR="00BE394C">
        <w:rPr>
          <w:rFonts w:ascii="Verdana" w:eastAsia="Times New Roman" w:hAnsi="Verdana" w:cs="Arial"/>
          <w:color w:val="000000"/>
          <w:lang w:eastAsia="en-GB"/>
        </w:rPr>
        <w:t xml:space="preserve"> </w:t>
      </w:r>
      <w:r w:rsidR="00CF7000">
        <w:rPr>
          <w:rFonts w:ascii="Verdana" w:eastAsia="Times New Roman" w:hAnsi="Verdana" w:cs="Arial"/>
          <w:color w:val="000000"/>
          <w:lang w:eastAsia="en-GB"/>
        </w:rPr>
        <w:t>discussion</w:t>
      </w:r>
      <w:r w:rsidR="00BE394C">
        <w:rPr>
          <w:rFonts w:ascii="Verdana" w:eastAsia="Times New Roman" w:hAnsi="Verdana" w:cs="Arial"/>
          <w:color w:val="000000"/>
          <w:lang w:eastAsia="en-GB"/>
        </w:rPr>
        <w:t>s</w:t>
      </w:r>
      <w:r w:rsidR="00CF7000">
        <w:rPr>
          <w:rFonts w:ascii="Verdana" w:eastAsia="Times New Roman" w:hAnsi="Verdana" w:cs="Arial"/>
          <w:color w:val="000000"/>
          <w:lang w:eastAsia="en-GB"/>
        </w:rPr>
        <w:t xml:space="preserve"> with the Police</w:t>
      </w:r>
      <w:r w:rsidR="007A450D">
        <w:rPr>
          <w:rFonts w:ascii="Verdana" w:eastAsia="Times New Roman" w:hAnsi="Verdana" w:cs="Arial"/>
          <w:color w:val="000000"/>
          <w:lang w:eastAsia="en-GB"/>
        </w:rPr>
        <w:t>,</w:t>
      </w:r>
      <w:r w:rsidR="00CF7000">
        <w:rPr>
          <w:rFonts w:ascii="Verdana" w:eastAsia="Times New Roman" w:hAnsi="Verdana" w:cs="Arial"/>
          <w:color w:val="000000"/>
          <w:lang w:eastAsia="en-GB"/>
        </w:rPr>
        <w:t xml:space="preserve"> t</w:t>
      </w:r>
      <w:r w:rsidR="004906AD" w:rsidRPr="004906AD">
        <w:rPr>
          <w:rFonts w:ascii="Verdana" w:eastAsia="Times New Roman" w:hAnsi="Verdana" w:cs="Arial"/>
          <w:color w:val="000000"/>
          <w:lang w:eastAsia="en-GB"/>
        </w:rPr>
        <w:t>he LPA</w:t>
      </w:r>
      <w:r w:rsidR="004906AD">
        <w:rPr>
          <w:rFonts w:ascii="Verdana" w:eastAsia="Times New Roman" w:hAnsi="Verdana" w:cs="Arial"/>
          <w:color w:val="000000"/>
          <w:lang w:eastAsia="en-GB"/>
        </w:rPr>
        <w:t xml:space="preserve"> </w:t>
      </w:r>
      <w:r w:rsidR="004906AD" w:rsidRPr="004906AD">
        <w:rPr>
          <w:rFonts w:ascii="Verdana" w:eastAsia="Times New Roman" w:hAnsi="Verdana" w:cs="Arial"/>
          <w:color w:val="000000"/>
          <w:lang w:eastAsia="en-GB"/>
        </w:rPr>
        <w:t xml:space="preserve">and applicant, accept </w:t>
      </w:r>
      <w:r w:rsidR="00BE394C">
        <w:rPr>
          <w:rFonts w:ascii="Verdana" w:eastAsia="Times New Roman" w:hAnsi="Verdana" w:cs="Arial"/>
          <w:color w:val="000000"/>
          <w:lang w:eastAsia="en-GB"/>
        </w:rPr>
        <w:t>that developer contributions towards additional police infrastructure can be compatible with CIL Regulation 122. To ensure such contributions are evidence-based, deliver necessary mitigation and are as fair and reasonable, t</w:t>
      </w:r>
      <w:r w:rsidR="004906AD" w:rsidRPr="004906AD">
        <w:rPr>
          <w:rFonts w:ascii="Verdana" w:eastAsia="Times New Roman" w:hAnsi="Verdana" w:cs="Arial"/>
          <w:color w:val="000000"/>
          <w:lang w:eastAsia="en-GB"/>
        </w:rPr>
        <w:t>he LPA</w:t>
      </w:r>
      <w:r w:rsidR="00BE394C">
        <w:rPr>
          <w:rFonts w:ascii="Verdana" w:eastAsia="Times New Roman" w:hAnsi="Verdana" w:cs="Arial"/>
          <w:color w:val="000000"/>
          <w:lang w:eastAsia="en-GB"/>
        </w:rPr>
        <w:t xml:space="preserve"> will work with the Police to develop </w:t>
      </w:r>
      <w:r w:rsidR="004906AD" w:rsidRPr="004906AD">
        <w:rPr>
          <w:rFonts w:ascii="Verdana" w:eastAsia="Times New Roman" w:hAnsi="Verdana" w:cs="Arial"/>
          <w:color w:val="000000"/>
          <w:lang w:eastAsia="en-GB"/>
        </w:rPr>
        <w:t xml:space="preserve">a standardised approach </w:t>
      </w:r>
      <w:r w:rsidR="00BE394C">
        <w:rPr>
          <w:rFonts w:ascii="Verdana" w:eastAsia="Times New Roman" w:hAnsi="Verdana" w:cs="Arial"/>
          <w:color w:val="000000"/>
          <w:lang w:eastAsia="en-GB"/>
        </w:rPr>
        <w:t xml:space="preserve">for police contributions </w:t>
      </w:r>
      <w:r>
        <w:rPr>
          <w:rFonts w:ascii="Verdana" w:eastAsia="Times New Roman" w:hAnsi="Verdana" w:cs="Arial"/>
          <w:color w:val="000000"/>
          <w:lang w:eastAsia="en-GB"/>
        </w:rPr>
        <w:t>i</w:t>
      </w:r>
      <w:r w:rsidR="00BE394C">
        <w:rPr>
          <w:rFonts w:ascii="Verdana" w:eastAsia="Times New Roman" w:hAnsi="Verdana" w:cs="Arial"/>
          <w:color w:val="000000"/>
          <w:lang w:eastAsia="en-GB"/>
        </w:rPr>
        <w:t>n the future.</w:t>
      </w:r>
    </w:p>
    <w:p w14:paraId="3F982461" w14:textId="77777777" w:rsidR="00BE394C" w:rsidRDefault="00BE394C" w:rsidP="00CD09B0">
      <w:pPr>
        <w:autoSpaceDE w:val="0"/>
        <w:autoSpaceDN w:val="0"/>
        <w:spacing w:after="0" w:line="240" w:lineRule="auto"/>
        <w:jc w:val="both"/>
        <w:rPr>
          <w:rFonts w:ascii="Verdana" w:eastAsia="Times New Roman" w:hAnsi="Verdana" w:cs="Arial"/>
          <w:color w:val="000000"/>
          <w:lang w:eastAsia="en-GB"/>
        </w:rPr>
      </w:pPr>
    </w:p>
    <w:p w14:paraId="3439FB67" w14:textId="5027A1CD" w:rsidR="00BE394C" w:rsidRDefault="00BE394C" w:rsidP="00BE394C">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 xml:space="preserve">Before this standardised approach is adopted, the LPA and applicant have agreed with the Police that the Langarth Garden Village will contribute </w:t>
      </w:r>
      <w:r w:rsidRPr="00A11C01">
        <w:rPr>
          <w:rFonts w:ascii="Verdana" w:eastAsia="Times New Roman" w:hAnsi="Verdana" w:cs="Arial"/>
          <w:color w:val="000000"/>
          <w:lang w:eastAsia="en-GB"/>
        </w:rPr>
        <w:t>£127,000</w:t>
      </w:r>
      <w:r>
        <w:rPr>
          <w:rFonts w:ascii="Verdana" w:eastAsia="Times New Roman" w:hAnsi="Verdana" w:cs="Arial"/>
          <w:color w:val="000000"/>
          <w:lang w:eastAsia="en-GB"/>
        </w:rPr>
        <w:t xml:space="preserve"> </w:t>
      </w:r>
      <w:r w:rsidRPr="00A11C01">
        <w:rPr>
          <w:rFonts w:ascii="Verdana" w:eastAsia="Times New Roman" w:hAnsi="Verdana" w:cs="Arial"/>
          <w:color w:val="000000"/>
          <w:lang w:eastAsia="en-GB"/>
        </w:rPr>
        <w:t>to Devon and Cornwall Police Estates</w:t>
      </w:r>
      <w:r>
        <w:rPr>
          <w:rFonts w:ascii="Verdana" w:eastAsia="Times New Roman" w:hAnsi="Verdana" w:cs="Arial"/>
          <w:color w:val="000000"/>
          <w:lang w:eastAsia="en-GB"/>
        </w:rPr>
        <w:t>’</w:t>
      </w:r>
      <w:r w:rsidRPr="00A11C01">
        <w:rPr>
          <w:rFonts w:ascii="Verdana" w:eastAsia="Times New Roman" w:hAnsi="Verdana" w:cs="Arial"/>
          <w:color w:val="000000"/>
          <w:lang w:eastAsia="en-GB"/>
        </w:rPr>
        <w:t xml:space="preserve"> personnel infrastructure requirements</w:t>
      </w:r>
      <w:r>
        <w:rPr>
          <w:rFonts w:ascii="Verdana" w:eastAsia="Times New Roman" w:hAnsi="Verdana" w:cs="Arial"/>
          <w:color w:val="000000"/>
          <w:lang w:eastAsia="en-GB"/>
        </w:rPr>
        <w:t xml:space="preserve">, </w:t>
      </w:r>
      <w:r w:rsidRPr="00A11C01">
        <w:rPr>
          <w:rFonts w:ascii="Verdana" w:eastAsia="Times New Roman" w:hAnsi="Verdana" w:cs="Arial"/>
          <w:color w:val="000000"/>
          <w:lang w:eastAsia="en-GB"/>
        </w:rPr>
        <w:t xml:space="preserve">on a proportionate </w:t>
      </w:r>
      <w:r>
        <w:rPr>
          <w:rFonts w:ascii="Verdana" w:eastAsia="Times New Roman" w:hAnsi="Verdana" w:cs="Arial"/>
          <w:color w:val="000000"/>
          <w:lang w:eastAsia="en-GB"/>
        </w:rPr>
        <w:t>‘</w:t>
      </w:r>
      <w:r w:rsidRPr="00A11C01">
        <w:rPr>
          <w:rFonts w:ascii="Verdana" w:eastAsia="Times New Roman" w:hAnsi="Verdana" w:cs="Arial"/>
          <w:color w:val="000000"/>
          <w:lang w:eastAsia="en-GB"/>
        </w:rPr>
        <w:t>pro rata</w:t>
      </w:r>
      <w:r>
        <w:rPr>
          <w:rFonts w:ascii="Verdana" w:eastAsia="Times New Roman" w:hAnsi="Verdana" w:cs="Arial"/>
          <w:color w:val="000000"/>
          <w:lang w:eastAsia="en-GB"/>
        </w:rPr>
        <w:t>’</w:t>
      </w:r>
      <w:r w:rsidRPr="00A11C01">
        <w:rPr>
          <w:rFonts w:ascii="Verdana" w:eastAsia="Times New Roman" w:hAnsi="Verdana" w:cs="Arial"/>
          <w:color w:val="000000"/>
          <w:lang w:eastAsia="en-GB"/>
        </w:rPr>
        <w:t xml:space="preserve"> basis prior to the first</w:t>
      </w:r>
      <w:r>
        <w:rPr>
          <w:rFonts w:ascii="Verdana" w:eastAsia="Times New Roman" w:hAnsi="Verdana" w:cs="Arial"/>
          <w:color w:val="000000"/>
          <w:lang w:eastAsia="en-GB"/>
        </w:rPr>
        <w:t xml:space="preserve"> residential</w:t>
      </w:r>
      <w:r w:rsidRPr="00A11C01">
        <w:rPr>
          <w:rFonts w:ascii="Verdana" w:eastAsia="Times New Roman" w:hAnsi="Verdana" w:cs="Arial"/>
          <w:color w:val="000000"/>
          <w:lang w:eastAsia="en-GB"/>
        </w:rPr>
        <w:t xml:space="preserve"> occupation of each ‘Reserved Matters</w:t>
      </w:r>
      <w:r>
        <w:rPr>
          <w:rFonts w:ascii="Verdana" w:eastAsia="Times New Roman" w:hAnsi="Verdana" w:cs="Arial"/>
          <w:color w:val="000000"/>
          <w:lang w:eastAsia="en-GB"/>
        </w:rPr>
        <w:t xml:space="preserve"> Area’. </w:t>
      </w:r>
    </w:p>
    <w:p w14:paraId="5BC0DCC8" w14:textId="2F6E618E" w:rsidR="00BE394C" w:rsidRDefault="00BE394C" w:rsidP="00CD09B0">
      <w:pPr>
        <w:autoSpaceDE w:val="0"/>
        <w:autoSpaceDN w:val="0"/>
        <w:spacing w:after="0" w:line="240" w:lineRule="auto"/>
        <w:jc w:val="both"/>
        <w:rPr>
          <w:rFonts w:ascii="Verdana" w:eastAsia="Times New Roman" w:hAnsi="Verdana" w:cs="Arial"/>
          <w:color w:val="000000"/>
          <w:lang w:eastAsia="en-GB"/>
        </w:rPr>
      </w:pPr>
    </w:p>
    <w:p w14:paraId="68C39C80" w14:textId="3194E18A" w:rsidR="00BE394C" w:rsidRDefault="00BE394C" w:rsidP="00CD09B0">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 xml:space="preserve">This sum has been calculated on the basis that affordable housing units will not contribute towards police infrastructure. This approach is consistent to that adopted by the LPA in relation to health infrastructure and is justified, inter alia, on the basis that residents of ‘local needs’ affordable housing units tend to come from existing communities and tend not, therefore, put additional (or as much additional) pressure on existing services.  The LPA and the applicant are satisfied that this contribution can, on this occasion, be justified by reference to the additional need for police services generated by a housing-led development of this scale and kind. </w:t>
      </w:r>
    </w:p>
    <w:p w14:paraId="7BBB9E58" w14:textId="67B69D4A" w:rsidR="00E466E4" w:rsidRDefault="00E466E4" w:rsidP="00CD09B0">
      <w:pPr>
        <w:autoSpaceDE w:val="0"/>
        <w:autoSpaceDN w:val="0"/>
        <w:spacing w:after="0" w:line="240" w:lineRule="auto"/>
        <w:jc w:val="both"/>
        <w:rPr>
          <w:rFonts w:ascii="Verdana" w:eastAsia="Times New Roman" w:hAnsi="Verdana" w:cs="Arial"/>
          <w:color w:val="000000"/>
          <w:lang w:eastAsia="en-GB"/>
        </w:rPr>
      </w:pPr>
    </w:p>
    <w:p w14:paraId="1E1C77B2" w14:textId="5D125A8E" w:rsidR="00BE394C" w:rsidRDefault="00747033" w:rsidP="00CD09B0">
      <w:pPr>
        <w:autoSpaceDE w:val="0"/>
        <w:autoSpaceDN w:val="0"/>
        <w:spacing w:after="0" w:line="240" w:lineRule="auto"/>
        <w:jc w:val="both"/>
        <w:rPr>
          <w:rFonts w:ascii="Verdana" w:eastAsia="Times New Roman" w:hAnsi="Verdana" w:cs="Arial"/>
          <w:color w:val="000000"/>
          <w:lang w:eastAsia="en-GB"/>
        </w:rPr>
      </w:pPr>
      <w:r w:rsidRPr="00747033">
        <w:rPr>
          <w:rFonts w:ascii="Verdana" w:eastAsia="Times New Roman" w:hAnsi="Verdana" w:cs="Arial"/>
          <w:color w:val="000000"/>
          <w:lang w:eastAsia="en-GB"/>
        </w:rPr>
        <w:t xml:space="preserve">The second element of the </w:t>
      </w:r>
      <w:r>
        <w:rPr>
          <w:rFonts w:ascii="Verdana" w:eastAsia="Times New Roman" w:hAnsi="Verdana" w:cs="Arial"/>
          <w:color w:val="000000"/>
          <w:lang w:eastAsia="en-GB"/>
        </w:rPr>
        <w:t>P</w:t>
      </w:r>
      <w:r w:rsidRPr="00747033">
        <w:rPr>
          <w:rFonts w:ascii="Verdana" w:eastAsia="Times New Roman" w:hAnsi="Verdana" w:cs="Arial"/>
          <w:color w:val="000000"/>
          <w:lang w:eastAsia="en-GB"/>
        </w:rPr>
        <w:t xml:space="preserve">olice </w:t>
      </w:r>
      <w:r w:rsidR="00BE394C">
        <w:rPr>
          <w:rFonts w:ascii="Verdana" w:eastAsia="Times New Roman" w:hAnsi="Verdana" w:cs="Arial"/>
          <w:color w:val="000000"/>
          <w:lang w:eastAsia="en-GB"/>
        </w:rPr>
        <w:t xml:space="preserve">request </w:t>
      </w:r>
      <w:r w:rsidRPr="00747033">
        <w:rPr>
          <w:rFonts w:ascii="Verdana" w:eastAsia="Times New Roman" w:hAnsi="Verdana" w:cs="Arial"/>
          <w:color w:val="000000"/>
          <w:lang w:eastAsia="en-GB"/>
        </w:rPr>
        <w:t xml:space="preserve">relates to the development of a new </w:t>
      </w:r>
      <w:r>
        <w:rPr>
          <w:rFonts w:ascii="Verdana" w:eastAsia="Times New Roman" w:hAnsi="Verdana" w:cs="Arial"/>
          <w:color w:val="000000"/>
          <w:lang w:eastAsia="en-GB"/>
        </w:rPr>
        <w:t>P</w:t>
      </w:r>
      <w:r w:rsidRPr="00747033">
        <w:rPr>
          <w:rFonts w:ascii="Verdana" w:eastAsia="Times New Roman" w:hAnsi="Verdana" w:cs="Arial"/>
          <w:color w:val="000000"/>
          <w:lang w:eastAsia="en-GB"/>
        </w:rPr>
        <w:t xml:space="preserve">olice station to meet the needs of the catchment area. This element is not deemed to be compliant with </w:t>
      </w:r>
      <w:r w:rsidR="00BE394C">
        <w:rPr>
          <w:rFonts w:ascii="Verdana" w:eastAsia="Times New Roman" w:hAnsi="Verdana" w:cs="Arial"/>
          <w:color w:val="000000"/>
          <w:lang w:eastAsia="en-GB"/>
        </w:rPr>
        <w:t xml:space="preserve">Regulation </w:t>
      </w:r>
      <w:r w:rsidRPr="00747033">
        <w:rPr>
          <w:rFonts w:ascii="Verdana" w:eastAsia="Times New Roman" w:hAnsi="Verdana" w:cs="Arial"/>
          <w:color w:val="000000"/>
          <w:lang w:eastAsia="en-GB"/>
        </w:rPr>
        <w:t>122</w:t>
      </w:r>
      <w:r w:rsidR="00F33BA3">
        <w:rPr>
          <w:rFonts w:ascii="Verdana" w:eastAsia="Times New Roman" w:hAnsi="Verdana" w:cs="Arial"/>
          <w:color w:val="000000"/>
          <w:lang w:eastAsia="en-GB"/>
        </w:rPr>
        <w:t xml:space="preserve"> </w:t>
      </w:r>
      <w:r w:rsidRPr="00747033">
        <w:rPr>
          <w:rFonts w:ascii="Verdana" w:eastAsia="Times New Roman" w:hAnsi="Verdana" w:cs="Arial"/>
          <w:color w:val="000000"/>
          <w:lang w:eastAsia="en-GB"/>
        </w:rPr>
        <w:t>at this stage.</w:t>
      </w:r>
      <w:r w:rsidR="00F33BA3">
        <w:rPr>
          <w:rFonts w:ascii="Verdana" w:eastAsia="Times New Roman" w:hAnsi="Verdana" w:cs="Arial"/>
          <w:color w:val="000000"/>
          <w:lang w:eastAsia="en-GB"/>
        </w:rPr>
        <w:t xml:space="preserve"> </w:t>
      </w:r>
      <w:r w:rsidRPr="00747033">
        <w:rPr>
          <w:rFonts w:ascii="Verdana" w:eastAsia="Times New Roman" w:hAnsi="Verdana" w:cs="Arial"/>
          <w:color w:val="000000"/>
          <w:lang w:eastAsia="en-GB"/>
        </w:rPr>
        <w:t>There is no clear programme or plan for the delivery of the station</w:t>
      </w:r>
      <w:r w:rsidR="00BE394C">
        <w:rPr>
          <w:rFonts w:ascii="Verdana" w:eastAsia="Times New Roman" w:hAnsi="Verdana" w:cs="Arial"/>
          <w:color w:val="000000"/>
          <w:lang w:eastAsia="en-GB"/>
        </w:rPr>
        <w:t xml:space="preserve"> no clear costings (or an explanation of how any funding gaps would be addressed), </w:t>
      </w:r>
      <w:r w:rsidRPr="00747033">
        <w:rPr>
          <w:rFonts w:ascii="Verdana" w:eastAsia="Times New Roman" w:hAnsi="Verdana" w:cs="Arial"/>
          <w:color w:val="000000"/>
          <w:lang w:eastAsia="en-GB"/>
        </w:rPr>
        <w:t xml:space="preserve">and the </w:t>
      </w:r>
      <w:r w:rsidR="00BE394C">
        <w:rPr>
          <w:rFonts w:ascii="Verdana" w:eastAsia="Times New Roman" w:hAnsi="Verdana" w:cs="Arial"/>
          <w:color w:val="000000"/>
          <w:lang w:eastAsia="en-GB"/>
        </w:rPr>
        <w:t>need and location for a new</w:t>
      </w:r>
      <w:r w:rsidRPr="00747033">
        <w:rPr>
          <w:rFonts w:ascii="Verdana" w:eastAsia="Times New Roman" w:hAnsi="Verdana" w:cs="Arial"/>
          <w:color w:val="000000"/>
          <w:lang w:eastAsia="en-GB"/>
        </w:rPr>
        <w:t xml:space="preserve"> station will</w:t>
      </w:r>
      <w:r w:rsidR="00BE394C">
        <w:rPr>
          <w:rFonts w:ascii="Verdana" w:eastAsia="Times New Roman" w:hAnsi="Verdana" w:cs="Arial"/>
          <w:color w:val="000000"/>
          <w:lang w:eastAsia="en-GB"/>
        </w:rPr>
        <w:t xml:space="preserve"> depend on a </w:t>
      </w:r>
      <w:r w:rsidRPr="00747033">
        <w:rPr>
          <w:rFonts w:ascii="Verdana" w:eastAsia="Times New Roman" w:hAnsi="Verdana" w:cs="Arial"/>
          <w:color w:val="000000"/>
          <w:lang w:eastAsia="en-GB"/>
        </w:rPr>
        <w:t>wider scale of development than Langarth</w:t>
      </w:r>
      <w:r w:rsidR="0034385A">
        <w:rPr>
          <w:rFonts w:ascii="Verdana" w:eastAsia="Times New Roman" w:hAnsi="Verdana" w:cs="Arial"/>
          <w:color w:val="000000"/>
          <w:lang w:eastAsia="en-GB"/>
        </w:rPr>
        <w:t xml:space="preserve"> Garden Village</w:t>
      </w:r>
      <w:r w:rsidRPr="00747033">
        <w:rPr>
          <w:rFonts w:ascii="Verdana" w:eastAsia="Times New Roman" w:hAnsi="Verdana" w:cs="Arial"/>
          <w:color w:val="000000"/>
          <w:lang w:eastAsia="en-GB"/>
        </w:rPr>
        <w:t>.</w:t>
      </w:r>
      <w:r w:rsidR="00F33BA3">
        <w:rPr>
          <w:rFonts w:ascii="Verdana" w:eastAsia="Times New Roman" w:hAnsi="Verdana" w:cs="Arial"/>
          <w:color w:val="000000"/>
          <w:lang w:eastAsia="en-GB"/>
        </w:rPr>
        <w:t xml:space="preserve"> </w:t>
      </w:r>
      <w:r w:rsidR="00BE394C">
        <w:rPr>
          <w:rFonts w:ascii="Verdana" w:eastAsia="Times New Roman" w:hAnsi="Verdana" w:cs="Arial"/>
          <w:color w:val="000000"/>
          <w:lang w:eastAsia="en-GB"/>
        </w:rPr>
        <w:t xml:space="preserve"> </w:t>
      </w:r>
      <w:r w:rsidRPr="00747033">
        <w:rPr>
          <w:rFonts w:ascii="Verdana" w:eastAsia="Times New Roman" w:hAnsi="Verdana" w:cs="Arial"/>
          <w:color w:val="000000"/>
          <w:lang w:eastAsia="en-GB"/>
        </w:rPr>
        <w:t>The assessment and delivery of such a</w:t>
      </w:r>
      <w:r w:rsidR="00BE394C">
        <w:rPr>
          <w:rFonts w:ascii="Verdana" w:eastAsia="Times New Roman" w:hAnsi="Verdana" w:cs="Arial"/>
          <w:color w:val="000000"/>
          <w:lang w:eastAsia="en-GB"/>
        </w:rPr>
        <w:t xml:space="preserve"> new</w:t>
      </w:r>
      <w:r w:rsidRPr="00747033">
        <w:rPr>
          <w:rFonts w:ascii="Verdana" w:eastAsia="Times New Roman" w:hAnsi="Verdana" w:cs="Arial"/>
          <w:color w:val="000000"/>
          <w:lang w:eastAsia="en-GB"/>
        </w:rPr>
        <w:t xml:space="preserve"> strategic facility require</w:t>
      </w:r>
      <w:r w:rsidR="00BE394C">
        <w:rPr>
          <w:rFonts w:ascii="Verdana" w:eastAsia="Times New Roman" w:hAnsi="Verdana" w:cs="Arial"/>
          <w:color w:val="000000"/>
          <w:lang w:eastAsia="en-GB"/>
        </w:rPr>
        <w:t>s</w:t>
      </w:r>
      <w:r w:rsidRPr="00747033">
        <w:rPr>
          <w:rFonts w:ascii="Verdana" w:eastAsia="Times New Roman" w:hAnsi="Verdana" w:cs="Arial"/>
          <w:color w:val="000000"/>
          <w:lang w:eastAsia="en-GB"/>
        </w:rPr>
        <w:t xml:space="preserve"> ongoing joint working between the </w:t>
      </w:r>
      <w:r w:rsidR="0061755C">
        <w:rPr>
          <w:rFonts w:ascii="Verdana" w:eastAsia="Times New Roman" w:hAnsi="Verdana" w:cs="Arial"/>
          <w:color w:val="000000"/>
          <w:lang w:eastAsia="en-GB"/>
        </w:rPr>
        <w:t>C</w:t>
      </w:r>
      <w:r w:rsidRPr="00747033">
        <w:rPr>
          <w:rFonts w:ascii="Verdana" w:eastAsia="Times New Roman" w:hAnsi="Verdana" w:cs="Arial"/>
          <w:color w:val="000000"/>
          <w:lang w:eastAsia="en-GB"/>
        </w:rPr>
        <w:t>ouncil and Police authority.</w:t>
      </w:r>
      <w:r w:rsidR="0061755C">
        <w:rPr>
          <w:rFonts w:ascii="Verdana" w:eastAsia="Times New Roman" w:hAnsi="Verdana" w:cs="Arial"/>
          <w:color w:val="000000"/>
          <w:lang w:eastAsia="en-GB"/>
        </w:rPr>
        <w:t xml:space="preserve"> </w:t>
      </w:r>
    </w:p>
    <w:p w14:paraId="42729EA3" w14:textId="77777777" w:rsidR="00BE394C" w:rsidRDefault="00BE394C" w:rsidP="00CD09B0">
      <w:pPr>
        <w:autoSpaceDE w:val="0"/>
        <w:autoSpaceDN w:val="0"/>
        <w:spacing w:after="0" w:line="240" w:lineRule="auto"/>
        <w:jc w:val="both"/>
        <w:rPr>
          <w:rFonts w:ascii="Verdana" w:eastAsia="Times New Roman" w:hAnsi="Verdana" w:cs="Arial"/>
          <w:color w:val="000000"/>
          <w:lang w:eastAsia="en-GB"/>
        </w:rPr>
      </w:pPr>
    </w:p>
    <w:p w14:paraId="718503DB" w14:textId="2E3D17F3" w:rsidR="00BE394C" w:rsidRDefault="00BE394C" w:rsidP="00CD09B0">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In this context, the LPA would note that</w:t>
      </w:r>
      <w:r w:rsidR="00747033" w:rsidRPr="00747033">
        <w:rPr>
          <w:rFonts w:ascii="Verdana" w:eastAsia="Times New Roman" w:hAnsi="Verdana" w:cs="Arial"/>
          <w:color w:val="000000"/>
          <w:lang w:eastAsia="en-GB"/>
        </w:rPr>
        <w:t xml:space="preserve"> the Council</w:t>
      </w:r>
      <w:r>
        <w:rPr>
          <w:rFonts w:ascii="Verdana" w:eastAsia="Times New Roman" w:hAnsi="Verdana" w:cs="Arial"/>
          <w:color w:val="000000"/>
          <w:lang w:eastAsia="en-GB"/>
        </w:rPr>
        <w:t>’s</w:t>
      </w:r>
      <w:r w:rsidR="00747033" w:rsidRPr="00747033">
        <w:rPr>
          <w:rFonts w:ascii="Verdana" w:eastAsia="Times New Roman" w:hAnsi="Verdana" w:cs="Arial"/>
          <w:color w:val="000000"/>
          <w:lang w:eastAsia="en-GB"/>
        </w:rPr>
        <w:t xml:space="preserve"> Cabinet on the 15th December </w:t>
      </w:r>
      <w:r w:rsidR="0061755C">
        <w:rPr>
          <w:rFonts w:ascii="Verdana" w:eastAsia="Times New Roman" w:hAnsi="Verdana" w:cs="Arial"/>
          <w:color w:val="000000"/>
          <w:lang w:eastAsia="en-GB"/>
        </w:rPr>
        <w:t xml:space="preserve">2021 </w:t>
      </w:r>
      <w:r w:rsidR="00747033" w:rsidRPr="00747033">
        <w:rPr>
          <w:rFonts w:ascii="Verdana" w:eastAsia="Times New Roman" w:hAnsi="Verdana" w:cs="Arial"/>
          <w:color w:val="000000"/>
          <w:lang w:eastAsia="en-GB"/>
        </w:rPr>
        <w:t>resolved to prioritise the use of future CIL fu</w:t>
      </w:r>
      <w:r w:rsidR="0061755C">
        <w:rPr>
          <w:rFonts w:ascii="Verdana" w:eastAsia="Times New Roman" w:hAnsi="Verdana" w:cs="Arial"/>
          <w:color w:val="000000"/>
          <w:lang w:eastAsia="en-GB"/>
        </w:rPr>
        <w:t>n</w:t>
      </w:r>
      <w:r w:rsidR="00747033" w:rsidRPr="00747033">
        <w:rPr>
          <w:rFonts w:ascii="Verdana" w:eastAsia="Times New Roman" w:hAnsi="Verdana" w:cs="Arial"/>
          <w:color w:val="000000"/>
          <w:lang w:eastAsia="en-GB"/>
        </w:rPr>
        <w:t xml:space="preserve">ds generated by the Langarth Garden </w:t>
      </w:r>
      <w:r w:rsidR="0061755C">
        <w:rPr>
          <w:rFonts w:ascii="Verdana" w:eastAsia="Times New Roman" w:hAnsi="Verdana" w:cs="Arial"/>
          <w:color w:val="000000"/>
          <w:lang w:eastAsia="en-GB"/>
        </w:rPr>
        <w:t>V</w:t>
      </w:r>
      <w:r w:rsidR="00747033" w:rsidRPr="00747033">
        <w:rPr>
          <w:rFonts w:ascii="Verdana" w:eastAsia="Times New Roman" w:hAnsi="Verdana" w:cs="Arial"/>
          <w:color w:val="000000"/>
          <w:lang w:eastAsia="en-GB"/>
        </w:rPr>
        <w:t>illage to support the delivery of strategic infrastructure</w:t>
      </w:r>
      <w:r>
        <w:rPr>
          <w:rFonts w:ascii="Verdana" w:eastAsia="Times New Roman" w:hAnsi="Verdana" w:cs="Arial"/>
          <w:color w:val="000000"/>
          <w:lang w:eastAsia="en-GB"/>
        </w:rPr>
        <w:t>, including police infrastructure</w:t>
      </w:r>
      <w:r w:rsidR="00747033" w:rsidRPr="00747033">
        <w:rPr>
          <w:rFonts w:ascii="Verdana" w:eastAsia="Times New Roman" w:hAnsi="Verdana" w:cs="Arial"/>
          <w:color w:val="000000"/>
          <w:lang w:eastAsia="en-GB"/>
        </w:rPr>
        <w:t>.</w:t>
      </w:r>
      <w:r w:rsidR="0061755C">
        <w:rPr>
          <w:rFonts w:ascii="Verdana" w:eastAsia="Times New Roman" w:hAnsi="Verdana" w:cs="Arial"/>
          <w:color w:val="000000"/>
          <w:lang w:eastAsia="en-GB"/>
        </w:rPr>
        <w:t xml:space="preserve"> </w:t>
      </w:r>
    </w:p>
    <w:p w14:paraId="5967336A" w14:textId="77777777" w:rsidR="00BE394C" w:rsidRDefault="00BE394C" w:rsidP="00CD09B0">
      <w:pPr>
        <w:autoSpaceDE w:val="0"/>
        <w:autoSpaceDN w:val="0"/>
        <w:spacing w:after="0" w:line="240" w:lineRule="auto"/>
        <w:jc w:val="both"/>
        <w:rPr>
          <w:rFonts w:ascii="Verdana" w:eastAsia="Times New Roman" w:hAnsi="Verdana" w:cs="Arial"/>
          <w:color w:val="000000"/>
          <w:lang w:eastAsia="en-GB"/>
        </w:rPr>
      </w:pPr>
    </w:p>
    <w:p w14:paraId="63BCFB85" w14:textId="31082216" w:rsidR="00E466E4" w:rsidRDefault="00747033" w:rsidP="00CD09B0">
      <w:pPr>
        <w:autoSpaceDE w:val="0"/>
        <w:autoSpaceDN w:val="0"/>
        <w:spacing w:after="0" w:line="240" w:lineRule="auto"/>
        <w:jc w:val="both"/>
        <w:rPr>
          <w:rFonts w:ascii="Verdana" w:eastAsia="Times New Roman" w:hAnsi="Verdana" w:cs="Arial"/>
          <w:color w:val="000000"/>
          <w:lang w:eastAsia="en-GB"/>
        </w:rPr>
      </w:pPr>
      <w:r w:rsidRPr="00747033">
        <w:rPr>
          <w:rFonts w:ascii="Verdana" w:eastAsia="Times New Roman" w:hAnsi="Verdana" w:cs="Arial"/>
          <w:color w:val="000000"/>
          <w:lang w:eastAsia="en-GB"/>
        </w:rPr>
        <w:t>The</w:t>
      </w:r>
      <w:r w:rsidR="00BE394C">
        <w:rPr>
          <w:rFonts w:ascii="Verdana" w:eastAsia="Times New Roman" w:hAnsi="Verdana" w:cs="Arial"/>
          <w:color w:val="000000"/>
          <w:lang w:eastAsia="en-GB"/>
        </w:rPr>
        <w:t xml:space="preserve"> LPA understands that the</w:t>
      </w:r>
      <w:r w:rsidRPr="00747033">
        <w:rPr>
          <w:rFonts w:ascii="Verdana" w:eastAsia="Times New Roman" w:hAnsi="Verdana" w:cs="Arial"/>
          <w:color w:val="000000"/>
          <w:lang w:eastAsia="en-GB"/>
        </w:rPr>
        <w:t xml:space="preserve"> Council</w:t>
      </w:r>
      <w:r w:rsidR="00BE394C">
        <w:rPr>
          <w:rFonts w:ascii="Verdana" w:eastAsia="Times New Roman" w:hAnsi="Verdana" w:cs="Arial"/>
          <w:color w:val="000000"/>
          <w:lang w:eastAsia="en-GB"/>
        </w:rPr>
        <w:t xml:space="preserve"> </w:t>
      </w:r>
      <w:r w:rsidRPr="00747033">
        <w:rPr>
          <w:rFonts w:ascii="Verdana" w:eastAsia="Times New Roman" w:hAnsi="Verdana" w:cs="Arial"/>
          <w:color w:val="000000"/>
          <w:lang w:eastAsia="en-GB"/>
        </w:rPr>
        <w:t>will</w:t>
      </w:r>
      <w:r w:rsidR="00BE394C">
        <w:rPr>
          <w:rFonts w:ascii="Verdana" w:eastAsia="Times New Roman" w:hAnsi="Verdana" w:cs="Arial"/>
          <w:color w:val="000000"/>
          <w:lang w:eastAsia="en-GB"/>
        </w:rPr>
        <w:t>, in its capacity as CIL Charging and Collecting Authroity,</w:t>
      </w:r>
      <w:r w:rsidRPr="00747033">
        <w:rPr>
          <w:rFonts w:ascii="Verdana" w:eastAsia="Times New Roman" w:hAnsi="Verdana" w:cs="Arial"/>
          <w:color w:val="000000"/>
          <w:lang w:eastAsia="en-GB"/>
        </w:rPr>
        <w:t xml:space="preserve"> work with the Office of the </w:t>
      </w:r>
      <w:r w:rsidR="0061755C">
        <w:rPr>
          <w:rFonts w:ascii="Verdana" w:eastAsia="Times New Roman" w:hAnsi="Verdana" w:cs="Arial"/>
          <w:color w:val="000000"/>
          <w:lang w:eastAsia="en-GB"/>
        </w:rPr>
        <w:t>P</w:t>
      </w:r>
      <w:r w:rsidRPr="00747033">
        <w:rPr>
          <w:rFonts w:ascii="Verdana" w:eastAsia="Times New Roman" w:hAnsi="Verdana" w:cs="Arial"/>
          <w:color w:val="000000"/>
          <w:lang w:eastAsia="en-GB"/>
        </w:rPr>
        <w:t xml:space="preserve">olice </w:t>
      </w:r>
      <w:r w:rsidR="0061755C">
        <w:rPr>
          <w:rFonts w:ascii="Verdana" w:eastAsia="Times New Roman" w:hAnsi="Verdana" w:cs="Arial"/>
          <w:color w:val="000000"/>
          <w:lang w:eastAsia="en-GB"/>
        </w:rPr>
        <w:t>C</w:t>
      </w:r>
      <w:r w:rsidRPr="00747033">
        <w:rPr>
          <w:rFonts w:ascii="Verdana" w:eastAsia="Times New Roman" w:hAnsi="Verdana" w:cs="Arial"/>
          <w:color w:val="000000"/>
          <w:lang w:eastAsia="en-GB"/>
        </w:rPr>
        <w:t>ommissioner</w:t>
      </w:r>
      <w:r w:rsidR="00BE394C">
        <w:rPr>
          <w:rFonts w:ascii="Verdana" w:eastAsia="Times New Roman" w:hAnsi="Verdana" w:cs="Arial"/>
          <w:color w:val="000000"/>
          <w:lang w:eastAsia="en-GB"/>
        </w:rPr>
        <w:t>,</w:t>
      </w:r>
      <w:r w:rsidRPr="00747033">
        <w:rPr>
          <w:rFonts w:ascii="Verdana" w:eastAsia="Times New Roman" w:hAnsi="Verdana" w:cs="Arial"/>
          <w:color w:val="000000"/>
          <w:lang w:eastAsia="en-GB"/>
        </w:rPr>
        <w:t xml:space="preserve"> to assess options and the opportunit</w:t>
      </w:r>
      <w:r w:rsidR="00BE394C">
        <w:rPr>
          <w:rFonts w:ascii="Verdana" w:eastAsia="Times New Roman" w:hAnsi="Verdana" w:cs="Arial"/>
          <w:color w:val="000000"/>
          <w:lang w:eastAsia="en-GB"/>
        </w:rPr>
        <w:t>ies which</w:t>
      </w:r>
      <w:r w:rsidRPr="00747033">
        <w:rPr>
          <w:rFonts w:ascii="Verdana" w:eastAsia="Times New Roman" w:hAnsi="Verdana" w:cs="Arial"/>
          <w:color w:val="000000"/>
          <w:lang w:eastAsia="en-GB"/>
        </w:rPr>
        <w:t xml:space="preserve"> exist for bids to be made against CIL funding to support the delivery of an improved police station for Truro and</w:t>
      </w:r>
      <w:r w:rsidR="00BE394C">
        <w:rPr>
          <w:rFonts w:ascii="Verdana" w:eastAsia="Times New Roman" w:hAnsi="Verdana" w:cs="Arial"/>
          <w:color w:val="000000"/>
          <w:lang w:eastAsia="en-GB"/>
        </w:rPr>
        <w:t xml:space="preserve"> the wider</w:t>
      </w:r>
      <w:r w:rsidRPr="00747033">
        <w:rPr>
          <w:rFonts w:ascii="Verdana" w:eastAsia="Times New Roman" w:hAnsi="Verdana" w:cs="Arial"/>
          <w:color w:val="000000"/>
          <w:lang w:eastAsia="en-GB"/>
        </w:rPr>
        <w:t xml:space="preserve"> area.</w:t>
      </w:r>
    </w:p>
    <w:p w14:paraId="1CF44763" w14:textId="62636BD1" w:rsidR="00BE394C" w:rsidRDefault="00BE394C" w:rsidP="00CD09B0">
      <w:pPr>
        <w:autoSpaceDE w:val="0"/>
        <w:autoSpaceDN w:val="0"/>
        <w:spacing w:after="0" w:line="240" w:lineRule="auto"/>
        <w:jc w:val="both"/>
        <w:rPr>
          <w:rFonts w:ascii="Verdana" w:eastAsia="Times New Roman" w:hAnsi="Verdana" w:cs="Arial"/>
          <w:color w:val="000000"/>
          <w:lang w:eastAsia="en-GB"/>
        </w:rPr>
      </w:pPr>
    </w:p>
    <w:p w14:paraId="1B2C1C60" w14:textId="2F53809C" w:rsidR="00BE394C" w:rsidRDefault="00BE394C" w:rsidP="00CD09B0">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 xml:space="preserve">Potential CIL receipts toward police infrastructure are also likely be supplemented in the future by section 106 contributions, pursuant to the standardised metric which is being developed by the LPA, as noted above. </w:t>
      </w:r>
    </w:p>
    <w:p w14:paraId="2D752733" w14:textId="72276BD8" w:rsidR="006D7B54" w:rsidRDefault="006D7B54" w:rsidP="00CD09B0">
      <w:pPr>
        <w:autoSpaceDE w:val="0"/>
        <w:autoSpaceDN w:val="0"/>
        <w:spacing w:after="0" w:line="240" w:lineRule="auto"/>
        <w:jc w:val="both"/>
        <w:rPr>
          <w:rFonts w:ascii="Verdana" w:eastAsia="Times New Roman" w:hAnsi="Verdana" w:cs="Arial"/>
          <w:color w:val="000000"/>
          <w:lang w:eastAsia="en-GB"/>
        </w:rPr>
      </w:pPr>
    </w:p>
    <w:p w14:paraId="080D5927" w14:textId="3179A814" w:rsidR="00BE394C" w:rsidRPr="008E67BF" w:rsidRDefault="00BE394C" w:rsidP="00F03EF4">
      <w:pPr>
        <w:autoSpaceDE w:val="0"/>
        <w:autoSpaceDN w:val="0"/>
        <w:spacing w:after="0" w:line="240" w:lineRule="auto"/>
        <w:jc w:val="both"/>
        <w:rPr>
          <w:rFonts w:ascii="Verdana" w:eastAsia="Times New Roman" w:hAnsi="Verdana" w:cs="Arial"/>
          <w:b/>
          <w:color w:val="000000"/>
          <w:lang w:eastAsia="en-GB"/>
        </w:rPr>
      </w:pPr>
      <w:r w:rsidRPr="008E67BF">
        <w:rPr>
          <w:rFonts w:ascii="Verdana" w:eastAsia="Times New Roman" w:hAnsi="Verdana" w:cs="Arial"/>
          <w:b/>
          <w:color w:val="000000"/>
          <w:lang w:eastAsia="en-GB"/>
        </w:rPr>
        <w:t xml:space="preserve">Conditions </w:t>
      </w:r>
    </w:p>
    <w:p w14:paraId="2331E514" w14:textId="77777777" w:rsidR="00BE394C" w:rsidRDefault="00BE394C" w:rsidP="00F03EF4">
      <w:pPr>
        <w:autoSpaceDE w:val="0"/>
        <w:autoSpaceDN w:val="0"/>
        <w:spacing w:after="0" w:line="240" w:lineRule="auto"/>
        <w:jc w:val="both"/>
        <w:rPr>
          <w:rFonts w:ascii="Verdana" w:eastAsia="Times New Roman" w:hAnsi="Verdana" w:cs="Arial"/>
          <w:color w:val="000000"/>
          <w:lang w:eastAsia="en-GB"/>
        </w:rPr>
      </w:pPr>
    </w:p>
    <w:p w14:paraId="62638B14" w14:textId="201069A8" w:rsidR="00F03EF4" w:rsidRPr="00F03EF4" w:rsidRDefault="002344EE" w:rsidP="00F03EF4">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 xml:space="preserve">With respect to the </w:t>
      </w:r>
      <w:r w:rsidR="005E25DC">
        <w:rPr>
          <w:rFonts w:ascii="Verdana" w:eastAsia="Times New Roman" w:hAnsi="Verdana" w:cs="Arial"/>
          <w:color w:val="000000"/>
          <w:lang w:eastAsia="en-GB"/>
        </w:rPr>
        <w:t xml:space="preserve">conditions presented to </w:t>
      </w:r>
      <w:r w:rsidR="00BE394C">
        <w:rPr>
          <w:rFonts w:ascii="Verdana" w:eastAsia="Times New Roman" w:hAnsi="Verdana" w:cs="Arial"/>
          <w:color w:val="000000"/>
          <w:lang w:eastAsia="en-GB"/>
        </w:rPr>
        <w:t xml:space="preserve">SPC </w:t>
      </w:r>
      <w:r w:rsidR="005E25DC">
        <w:rPr>
          <w:rFonts w:ascii="Verdana" w:eastAsia="Times New Roman" w:hAnsi="Verdana" w:cs="Arial"/>
          <w:color w:val="000000"/>
          <w:lang w:eastAsia="en-GB"/>
        </w:rPr>
        <w:t>t</w:t>
      </w:r>
      <w:r w:rsidR="00F03EF4" w:rsidRPr="00F03EF4">
        <w:rPr>
          <w:rFonts w:ascii="Verdana" w:eastAsia="Times New Roman" w:hAnsi="Verdana" w:cs="Arial"/>
          <w:color w:val="000000"/>
          <w:lang w:eastAsia="en-GB"/>
        </w:rPr>
        <w:t>he</w:t>
      </w:r>
      <w:r w:rsidR="005E25DC">
        <w:rPr>
          <w:rFonts w:ascii="Verdana" w:eastAsia="Times New Roman" w:hAnsi="Verdana" w:cs="Arial"/>
          <w:color w:val="000000"/>
          <w:lang w:eastAsia="en-GB"/>
        </w:rPr>
        <w:t>se</w:t>
      </w:r>
      <w:r w:rsidR="00F03EF4" w:rsidRPr="00F03EF4">
        <w:rPr>
          <w:rFonts w:ascii="Verdana" w:eastAsia="Times New Roman" w:hAnsi="Verdana" w:cs="Arial"/>
          <w:color w:val="000000"/>
          <w:lang w:eastAsia="en-GB"/>
        </w:rPr>
        <w:t xml:space="preserve"> ha</w:t>
      </w:r>
      <w:r w:rsidR="005E25DC">
        <w:rPr>
          <w:rFonts w:ascii="Verdana" w:eastAsia="Times New Roman" w:hAnsi="Verdana" w:cs="Arial"/>
          <w:color w:val="000000"/>
          <w:lang w:eastAsia="en-GB"/>
        </w:rPr>
        <w:t>ve</w:t>
      </w:r>
      <w:r w:rsidR="00F03EF4" w:rsidRPr="00F03EF4">
        <w:rPr>
          <w:rFonts w:ascii="Verdana" w:eastAsia="Times New Roman" w:hAnsi="Verdana" w:cs="Arial"/>
          <w:color w:val="000000"/>
          <w:lang w:eastAsia="en-GB"/>
        </w:rPr>
        <w:t xml:space="preserve"> been updated</w:t>
      </w:r>
      <w:r w:rsidR="005E25DC">
        <w:rPr>
          <w:rFonts w:ascii="Verdana" w:eastAsia="Times New Roman" w:hAnsi="Verdana" w:cs="Arial"/>
          <w:color w:val="000000"/>
          <w:lang w:eastAsia="en-GB"/>
        </w:rPr>
        <w:t xml:space="preserve"> as follows</w:t>
      </w:r>
      <w:r w:rsidR="00F03EF4" w:rsidRPr="00F03EF4">
        <w:rPr>
          <w:rFonts w:ascii="Verdana" w:eastAsia="Times New Roman" w:hAnsi="Verdana" w:cs="Arial"/>
          <w:color w:val="000000"/>
          <w:lang w:eastAsia="en-GB"/>
        </w:rPr>
        <w:t>:</w:t>
      </w:r>
    </w:p>
    <w:p w14:paraId="1FDB5DCD" w14:textId="2E18D428" w:rsidR="00F03EF4" w:rsidRPr="00BE394C" w:rsidRDefault="00F03EF4" w:rsidP="00BE394C">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t xml:space="preserve">To include key definitions to help interpret when conditions need to be complied with </w:t>
      </w:r>
    </w:p>
    <w:p w14:paraId="3DAA4BA7" w14:textId="098FC525" w:rsidR="00F03EF4" w:rsidRPr="00BE394C" w:rsidRDefault="00F03EF4" w:rsidP="00BE394C">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t>To include headings, to make the conditions easier to navigate</w:t>
      </w:r>
    </w:p>
    <w:p w14:paraId="492518C3" w14:textId="6B8AE246" w:rsidR="00F03EF4" w:rsidRPr="00BE394C" w:rsidRDefault="00F03EF4" w:rsidP="00BE394C">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t xml:space="preserve">For internal consistency in terms of language and numbering used </w:t>
      </w:r>
    </w:p>
    <w:p w14:paraId="2F33DB8A" w14:textId="4A177C5C" w:rsidR="00F03EF4" w:rsidRPr="00BE394C" w:rsidRDefault="00F03EF4" w:rsidP="00BE394C">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t xml:space="preserve">To make sure that where information is submitted to the LPA, it is required to be approved by the LPA in writing </w:t>
      </w:r>
    </w:p>
    <w:p w14:paraId="737A09C8" w14:textId="020AA2AD" w:rsidR="00F03EF4" w:rsidRPr="00BE394C" w:rsidRDefault="00F03EF4" w:rsidP="00BE394C">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t xml:space="preserve">To make sure that where details are approved, the condition is clear that those details must then be implemented or adhered to when the development is carried out and, where management details are required, also managed in accordance with those details </w:t>
      </w:r>
    </w:p>
    <w:p w14:paraId="2BD636E4" w14:textId="6D0F84BC" w:rsidR="00F03EF4" w:rsidRPr="00BE394C" w:rsidRDefault="00F03EF4" w:rsidP="00BE394C">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lastRenderedPageBreak/>
        <w:t>To include additional informatives to guide the interpretation of the conditions</w:t>
      </w:r>
    </w:p>
    <w:p w14:paraId="54049EC5" w14:textId="076421DB" w:rsidR="00F03EF4" w:rsidRPr="00BE394C" w:rsidRDefault="00F03EF4" w:rsidP="00BE394C">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t>To eliminate duplication (for example, in the drainage conditions where certain documents were required to be submitted under a number of different conditions – for example, the construction surface water management plan and construction quality control procedure were required to be submitted under Application A condition 7 as well as under conditions 8 and 9 respectively.</w:t>
      </w:r>
    </w:p>
    <w:p w14:paraId="504BD284" w14:textId="277374D9" w:rsidR="00F03EF4" w:rsidRPr="00BE394C" w:rsidRDefault="00F03EF4" w:rsidP="00BE394C">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t>To use language in the time limit conditions attached to the outline element of the permission (Application B) which more closely align with section 92 TCPA 1990</w:t>
      </w:r>
    </w:p>
    <w:p w14:paraId="07D801D3" w14:textId="13567BB5" w:rsidR="00F03EF4" w:rsidRPr="00BE394C" w:rsidRDefault="00F03EF4" w:rsidP="00BE394C">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t>To clarify that some information in the approved ES was updated before determination, and to ensure the conditions linked to the ES refer to the most up to date environmental information</w:t>
      </w:r>
    </w:p>
    <w:p w14:paraId="04CAB666" w14:textId="77D47E2E" w:rsidR="00F03EF4" w:rsidRPr="00BE394C" w:rsidRDefault="00F03EF4" w:rsidP="00BE394C">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t>To clarify the neighbourhood design code conditions attached to Application B so it clear that condition 8 defines what a Neighbourhood is; condition 9 sets the time limit for approval of a design code for each Neighbourhood and condition 10 sets out the details which the LPA expects to see in such a design code.</w:t>
      </w:r>
    </w:p>
    <w:p w14:paraId="6FC42A1D" w14:textId="2DF9AA17" w:rsidR="00F03EF4" w:rsidRPr="00BE394C" w:rsidRDefault="00F03EF4" w:rsidP="00BE394C">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t>An informative has been added at the end of condition 10 to Application B to clarify that where a reserved matters application relates to infrastructure development only (for example, SANG) the LPA’s expectations around the NDC are moderated to proportionately reflect the proposed land use.</w:t>
      </w:r>
    </w:p>
    <w:p w14:paraId="53908A2D" w14:textId="5DFF061A" w:rsidR="00F03EF4" w:rsidRPr="00BE394C" w:rsidRDefault="00F03EF4" w:rsidP="00BE394C">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t>To flag that the biodiversity net gain condition attached to Application B needs to be read alongside the S106 Obligation accompanying this permission</w:t>
      </w:r>
    </w:p>
    <w:p w14:paraId="6B11D310" w14:textId="1B99F3CE" w:rsidR="00F03EF4" w:rsidRPr="00BE394C" w:rsidRDefault="00F03EF4" w:rsidP="00BE394C">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t>To eliminate duplication between the landscaping conditions and others expressly governing tree protection, lighting etc.</w:t>
      </w:r>
    </w:p>
    <w:p w14:paraId="1E4E71F5" w14:textId="77777777" w:rsidR="00BE394C" w:rsidRDefault="00F03EF4" w:rsidP="00F03EF4">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t>To clarify the objectives of the staging and phasing plans associated with the delivery of the NAR and delivery of the development under the outline permission, cognisant of the fact that build out rates and other delivery conditions may change over time.</w:t>
      </w:r>
    </w:p>
    <w:p w14:paraId="183FFA3F" w14:textId="77777777" w:rsidR="00BE394C" w:rsidRDefault="00F03EF4" w:rsidP="00F03EF4">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t>To clarify but not materially alter the requirements for the CTMPs, CEMPs and LEMPs supporting the delivery of the NAR on the one hand and the development under the outline element of the permission on the other.</w:t>
      </w:r>
    </w:p>
    <w:p w14:paraId="6D61399F" w14:textId="0F179F1E" w:rsidR="00F03EF4" w:rsidRPr="00BE394C" w:rsidRDefault="00F03EF4" w:rsidP="00F03EF4">
      <w:pPr>
        <w:pStyle w:val="ListParagraph"/>
        <w:numPr>
          <w:ilvl w:val="0"/>
          <w:numId w:val="4"/>
        </w:numPr>
        <w:autoSpaceDE w:val="0"/>
        <w:autoSpaceDN w:val="0"/>
        <w:spacing w:after="0" w:line="240" w:lineRule="auto"/>
        <w:jc w:val="both"/>
        <w:rPr>
          <w:rFonts w:ascii="Verdana" w:eastAsia="Times New Roman" w:hAnsi="Verdana" w:cs="Arial"/>
          <w:color w:val="000000"/>
          <w:lang w:eastAsia="en-GB"/>
        </w:rPr>
      </w:pPr>
      <w:r w:rsidRPr="00BE394C">
        <w:rPr>
          <w:rFonts w:ascii="Verdana" w:eastAsia="Times New Roman" w:hAnsi="Verdana" w:cs="Arial"/>
          <w:color w:val="000000"/>
          <w:lang w:eastAsia="en-GB"/>
        </w:rPr>
        <w:t>To clarify but not materially alter the car club condition so it is clear what needs to be submitted and when.</w:t>
      </w:r>
    </w:p>
    <w:p w14:paraId="1E327EC6" w14:textId="77777777" w:rsidR="00F03EF4" w:rsidRDefault="00F03EF4" w:rsidP="00CD09B0">
      <w:pPr>
        <w:autoSpaceDE w:val="0"/>
        <w:autoSpaceDN w:val="0"/>
        <w:spacing w:after="0" w:line="240" w:lineRule="auto"/>
        <w:jc w:val="both"/>
        <w:rPr>
          <w:rFonts w:ascii="Verdana" w:eastAsia="Times New Roman" w:hAnsi="Verdana" w:cs="Arial"/>
          <w:color w:val="000000"/>
          <w:lang w:eastAsia="en-GB"/>
        </w:rPr>
      </w:pPr>
    </w:p>
    <w:p w14:paraId="0AB4F825" w14:textId="14E37448" w:rsidR="00BE394C" w:rsidRPr="008E67BF" w:rsidRDefault="00BE394C" w:rsidP="000C7DB5">
      <w:pPr>
        <w:spacing w:after="240" w:line="240" w:lineRule="auto"/>
        <w:jc w:val="both"/>
        <w:rPr>
          <w:rFonts w:ascii="Verdana" w:eastAsia="Times New Roman" w:hAnsi="Verdana" w:cs="Arial"/>
          <w:b/>
          <w:color w:val="000000"/>
          <w:lang w:eastAsia="en-GB"/>
        </w:rPr>
      </w:pPr>
      <w:r w:rsidRPr="008E67BF">
        <w:rPr>
          <w:rFonts w:ascii="Verdana" w:eastAsia="Times New Roman" w:hAnsi="Verdana" w:cs="Arial"/>
          <w:b/>
          <w:color w:val="000000"/>
          <w:lang w:eastAsia="en-GB"/>
        </w:rPr>
        <w:t>Section 106 Obligation</w:t>
      </w:r>
    </w:p>
    <w:p w14:paraId="1DA9823D" w14:textId="21564D63" w:rsidR="000C7DB5" w:rsidRPr="000C7DB5" w:rsidRDefault="00576595" w:rsidP="000C7DB5">
      <w:pPr>
        <w:spacing w:after="240" w:line="240" w:lineRule="auto"/>
        <w:jc w:val="both"/>
        <w:rPr>
          <w:rFonts w:ascii="Verdana" w:eastAsia="Calibri" w:hAnsi="Verdana" w:cs="Arial"/>
          <w:lang w:eastAsia="en-GB"/>
        </w:rPr>
      </w:pPr>
      <w:r>
        <w:rPr>
          <w:rFonts w:ascii="Verdana" w:eastAsia="Times New Roman" w:hAnsi="Verdana" w:cs="Arial"/>
          <w:color w:val="000000"/>
          <w:lang w:eastAsia="en-GB"/>
        </w:rPr>
        <w:t xml:space="preserve">With respect to the </w:t>
      </w:r>
      <w:r w:rsidR="00D15007">
        <w:rPr>
          <w:rFonts w:ascii="Verdana" w:eastAsia="Times New Roman" w:hAnsi="Verdana" w:cs="Arial"/>
          <w:color w:val="000000"/>
          <w:lang w:eastAsia="en-GB"/>
        </w:rPr>
        <w:t xml:space="preserve">draft </w:t>
      </w:r>
      <w:r w:rsidR="000C7DB5" w:rsidRPr="000C7DB5">
        <w:rPr>
          <w:rFonts w:ascii="Verdana" w:eastAsia="Calibri" w:hAnsi="Verdana" w:cs="Arial"/>
          <w:lang w:eastAsia="en-GB"/>
        </w:rPr>
        <w:t>Section 106 Obligation accompanying this planning permission</w:t>
      </w:r>
      <w:r w:rsidR="00D15007">
        <w:rPr>
          <w:rFonts w:ascii="Verdana" w:eastAsia="Calibri" w:hAnsi="Verdana" w:cs="Arial"/>
          <w:lang w:eastAsia="en-GB"/>
        </w:rPr>
        <w:t xml:space="preserve"> (to be secured or entered into pursuant to planning conditions 30 and 31)</w:t>
      </w:r>
      <w:r w:rsidR="00BE394C">
        <w:rPr>
          <w:rFonts w:ascii="Verdana" w:eastAsia="Calibri" w:hAnsi="Verdana" w:cs="Arial"/>
          <w:lang w:eastAsia="en-GB"/>
        </w:rPr>
        <w:t>,</w:t>
      </w:r>
      <w:r w:rsidR="000C7DB5" w:rsidRPr="000C7DB5">
        <w:rPr>
          <w:rFonts w:ascii="Verdana" w:eastAsia="Calibri" w:hAnsi="Verdana" w:cs="Arial"/>
          <w:lang w:eastAsia="en-GB"/>
        </w:rPr>
        <w:t xml:space="preserve"> </w:t>
      </w:r>
      <w:r w:rsidR="00450F36">
        <w:rPr>
          <w:rFonts w:ascii="Verdana" w:eastAsia="Calibri" w:hAnsi="Verdana" w:cs="Arial"/>
          <w:lang w:eastAsia="en-GB"/>
        </w:rPr>
        <w:t xml:space="preserve">this </w:t>
      </w:r>
      <w:r w:rsidR="000C7DB5" w:rsidRPr="000C7DB5">
        <w:rPr>
          <w:rFonts w:ascii="Verdana" w:eastAsia="Calibri" w:hAnsi="Verdana" w:cs="Arial"/>
          <w:lang w:eastAsia="en-GB"/>
        </w:rPr>
        <w:t>has been drafted and negotiated to reflect the terms approved by</w:t>
      </w:r>
      <w:r w:rsidR="00F263AB">
        <w:rPr>
          <w:rFonts w:ascii="Verdana" w:eastAsia="Calibri" w:hAnsi="Verdana" w:cs="Arial"/>
          <w:lang w:eastAsia="en-GB"/>
        </w:rPr>
        <w:t xml:space="preserve"> </w:t>
      </w:r>
      <w:r w:rsidR="00BE394C">
        <w:rPr>
          <w:rFonts w:ascii="Verdana" w:eastAsia="Calibri" w:hAnsi="Verdana" w:cs="Arial"/>
          <w:lang w:eastAsia="en-GB"/>
        </w:rPr>
        <w:t>SPC</w:t>
      </w:r>
      <w:r w:rsidR="000C7DB5" w:rsidRPr="000C7DB5">
        <w:rPr>
          <w:rFonts w:ascii="Verdana" w:eastAsia="Calibri" w:hAnsi="Verdana" w:cs="Arial"/>
          <w:lang w:eastAsia="en-GB"/>
        </w:rPr>
        <w:t xml:space="preserve">, materially in accordance with the draft heads of terms published alongside the Update Report to Committee. </w:t>
      </w:r>
    </w:p>
    <w:p w14:paraId="0AF613E3" w14:textId="4FA252FB" w:rsidR="000C7DB5" w:rsidRPr="000C7DB5" w:rsidRDefault="000C7DB5" w:rsidP="000C7DB5">
      <w:pPr>
        <w:spacing w:after="240" w:line="240" w:lineRule="auto"/>
        <w:jc w:val="both"/>
        <w:rPr>
          <w:rFonts w:ascii="Verdana" w:eastAsia="Calibri" w:hAnsi="Verdana" w:cs="Arial"/>
          <w:lang w:eastAsia="en-GB"/>
        </w:rPr>
      </w:pPr>
      <w:r w:rsidRPr="000C7DB5">
        <w:rPr>
          <w:rFonts w:ascii="Verdana" w:eastAsia="Calibri" w:hAnsi="Verdana" w:cs="Arial"/>
          <w:lang w:eastAsia="en-GB"/>
        </w:rPr>
        <w:t>The heads of terms have been extensively discussed with the applicant and relevant statutory consultees (including Affordable Housing, Highways and Public Transport) and the table below summarises the key changes to the published draft heads of terms, approved by the</w:t>
      </w:r>
      <w:r w:rsidR="00F263AB">
        <w:rPr>
          <w:rFonts w:ascii="Verdana" w:eastAsia="Calibri" w:hAnsi="Verdana" w:cs="Arial"/>
          <w:lang w:eastAsia="en-GB"/>
        </w:rPr>
        <w:t xml:space="preserve"> </w:t>
      </w:r>
      <w:r w:rsidR="00BE394C">
        <w:rPr>
          <w:rFonts w:ascii="Verdana" w:eastAsia="Calibri" w:hAnsi="Verdana" w:cs="Arial"/>
          <w:lang w:eastAsia="en-GB"/>
        </w:rPr>
        <w:t>LPA</w:t>
      </w:r>
      <w:r w:rsidRPr="000C7DB5">
        <w:rPr>
          <w:rFonts w:ascii="Verdana" w:eastAsia="Calibri" w:hAnsi="Verdana" w:cs="Arial"/>
          <w:lang w:eastAsia="en-GB"/>
        </w:rPr>
        <w:t>:</w:t>
      </w:r>
    </w:p>
    <w:tbl>
      <w:tblPr>
        <w:tblStyle w:val="TableGrid1"/>
        <w:tblW w:w="0" w:type="auto"/>
        <w:tblLook w:val="04A0" w:firstRow="1" w:lastRow="0" w:firstColumn="1" w:lastColumn="0" w:noHBand="0" w:noVBand="1"/>
      </w:tblPr>
      <w:tblGrid>
        <w:gridCol w:w="3114"/>
        <w:gridCol w:w="6514"/>
      </w:tblGrid>
      <w:tr w:rsidR="000C7DB5" w:rsidRPr="000C7DB5" w14:paraId="5B0D51DE" w14:textId="77777777" w:rsidTr="007510F9">
        <w:tc>
          <w:tcPr>
            <w:tcW w:w="3114" w:type="dxa"/>
          </w:tcPr>
          <w:p w14:paraId="1D65A802" w14:textId="77777777" w:rsidR="000C7DB5" w:rsidRPr="000C7DB5" w:rsidRDefault="000C7DB5" w:rsidP="000C7DB5">
            <w:pPr>
              <w:spacing w:after="240"/>
              <w:jc w:val="both"/>
              <w:rPr>
                <w:rFonts w:ascii="Verdana" w:eastAsia="Calibri" w:hAnsi="Verdana" w:cs="Arial"/>
                <w:b/>
                <w:bCs/>
                <w:sz w:val="22"/>
                <w:szCs w:val="22"/>
              </w:rPr>
            </w:pPr>
            <w:r w:rsidRPr="000C7DB5">
              <w:rPr>
                <w:rFonts w:ascii="Verdana" w:eastAsia="Calibri" w:hAnsi="Verdana" w:cs="Arial"/>
                <w:b/>
                <w:bCs/>
                <w:sz w:val="22"/>
                <w:szCs w:val="22"/>
              </w:rPr>
              <w:t xml:space="preserve">Personalised Travel Planning and MEP Evaluation Contribution </w:t>
            </w:r>
          </w:p>
        </w:tc>
        <w:tc>
          <w:tcPr>
            <w:tcW w:w="6514" w:type="dxa"/>
          </w:tcPr>
          <w:p w14:paraId="5FEB2593" w14:textId="558A83F5" w:rsidR="000C7DB5" w:rsidRPr="000C7DB5" w:rsidRDefault="000C7DB5" w:rsidP="000C7DB5">
            <w:pPr>
              <w:spacing w:after="240"/>
              <w:jc w:val="both"/>
              <w:rPr>
                <w:rFonts w:ascii="Verdana" w:eastAsia="Calibri" w:hAnsi="Verdana" w:cs="Arial"/>
                <w:sz w:val="22"/>
                <w:szCs w:val="22"/>
              </w:rPr>
            </w:pPr>
            <w:r w:rsidRPr="000C7DB5">
              <w:rPr>
                <w:rFonts w:ascii="Verdana" w:eastAsia="Calibri" w:hAnsi="Verdana" w:cs="Arial"/>
                <w:sz w:val="22"/>
                <w:szCs w:val="22"/>
              </w:rPr>
              <w:t xml:space="preserve">Clarifying that this contribution is to fund an officer at the LPA or in the Stewardship Vehicle for at least 20 years and that this officer is responsible for the implementation of approved personalised travel planning measures, as well as for analysing the results of the traffic surveys and </w:t>
            </w:r>
            <w:r w:rsidRPr="000C7DB5">
              <w:rPr>
                <w:rFonts w:ascii="Verdana" w:eastAsia="Calibri" w:hAnsi="Verdana" w:cs="Arial"/>
                <w:sz w:val="22"/>
                <w:szCs w:val="22"/>
              </w:rPr>
              <w:lastRenderedPageBreak/>
              <w:t xml:space="preserve">monitoring carried out pursuant to the Monitoring and Evaluation Plan. </w:t>
            </w:r>
          </w:p>
        </w:tc>
      </w:tr>
      <w:tr w:rsidR="000C7DB5" w:rsidRPr="000C7DB5" w14:paraId="590ED962" w14:textId="77777777" w:rsidTr="007510F9">
        <w:tc>
          <w:tcPr>
            <w:tcW w:w="3114" w:type="dxa"/>
          </w:tcPr>
          <w:p w14:paraId="290A86D8" w14:textId="77777777" w:rsidR="000C7DB5" w:rsidRPr="000C7DB5" w:rsidRDefault="000C7DB5" w:rsidP="000C7DB5">
            <w:pPr>
              <w:spacing w:after="240"/>
              <w:jc w:val="both"/>
              <w:rPr>
                <w:rFonts w:ascii="Verdana" w:eastAsia="Calibri" w:hAnsi="Verdana" w:cs="Arial"/>
                <w:b/>
                <w:bCs/>
                <w:sz w:val="22"/>
                <w:szCs w:val="22"/>
              </w:rPr>
            </w:pPr>
            <w:r w:rsidRPr="000C7DB5">
              <w:rPr>
                <w:rFonts w:ascii="Verdana" w:eastAsia="Calibri" w:hAnsi="Verdana" w:cs="Arial"/>
                <w:b/>
                <w:bCs/>
                <w:sz w:val="22"/>
                <w:szCs w:val="22"/>
              </w:rPr>
              <w:lastRenderedPageBreak/>
              <w:t xml:space="preserve">Bus Services Contribution </w:t>
            </w:r>
          </w:p>
        </w:tc>
        <w:tc>
          <w:tcPr>
            <w:tcW w:w="6514" w:type="dxa"/>
          </w:tcPr>
          <w:p w14:paraId="13E3D41A" w14:textId="39B9AD20" w:rsidR="000C7DB5" w:rsidRPr="000C7DB5" w:rsidRDefault="000C7DB5" w:rsidP="000C7DB5">
            <w:pPr>
              <w:spacing w:after="240"/>
              <w:jc w:val="both"/>
              <w:rPr>
                <w:rFonts w:ascii="Verdana" w:eastAsia="Calibri" w:hAnsi="Verdana" w:cs="Arial"/>
                <w:sz w:val="22"/>
                <w:szCs w:val="22"/>
              </w:rPr>
            </w:pPr>
            <w:r w:rsidRPr="000C7DB5">
              <w:rPr>
                <w:rFonts w:ascii="Verdana" w:eastAsia="Calibri" w:hAnsi="Verdana" w:cs="Arial"/>
                <w:sz w:val="22"/>
                <w:szCs w:val="22"/>
              </w:rPr>
              <w:t>Reprofiling payment triggers in accordance with a revised bus subsidy and delivery structure agreed with the CC Public Transport Team. The Public Transp</w:t>
            </w:r>
            <w:r w:rsidR="00450F36">
              <w:rPr>
                <w:rFonts w:ascii="Verdana" w:eastAsia="Calibri" w:hAnsi="Verdana" w:cs="Arial"/>
                <w:sz w:val="22"/>
                <w:szCs w:val="22"/>
              </w:rPr>
              <w:t>or</w:t>
            </w:r>
            <w:r w:rsidRPr="000C7DB5">
              <w:rPr>
                <w:rFonts w:ascii="Verdana" w:eastAsia="Calibri" w:hAnsi="Verdana" w:cs="Arial"/>
                <w:sz w:val="22"/>
                <w:szCs w:val="22"/>
              </w:rPr>
              <w:t xml:space="preserve">t Team have, in </w:t>
            </w:r>
            <w:r w:rsidR="00450F36" w:rsidRPr="000C7DB5">
              <w:rPr>
                <w:rFonts w:ascii="Verdana" w:eastAsia="Calibri" w:hAnsi="Verdana" w:cs="Arial"/>
                <w:sz w:val="22"/>
                <w:szCs w:val="22"/>
              </w:rPr>
              <w:t>liaising</w:t>
            </w:r>
            <w:r w:rsidRPr="000C7DB5">
              <w:rPr>
                <w:rFonts w:ascii="Verdana" w:eastAsia="Calibri" w:hAnsi="Verdana" w:cs="Arial"/>
                <w:sz w:val="22"/>
                <w:szCs w:val="22"/>
              </w:rPr>
              <w:t xml:space="preserve"> with the applicant’s transport consultant, identified an opportunity to make greater use of existing bus services at the beginning of the development, thus justifying a ‘camel back’ payment profile as follows:-</w:t>
            </w:r>
          </w:p>
          <w:p w14:paraId="264CB5CD" w14:textId="77777777" w:rsidR="000C7DB5" w:rsidRPr="000C7DB5" w:rsidRDefault="000C7DB5" w:rsidP="000C7DB5">
            <w:pPr>
              <w:spacing w:after="240"/>
              <w:jc w:val="both"/>
              <w:rPr>
                <w:rFonts w:ascii="Verdana" w:eastAsia="Calibri" w:hAnsi="Verdana" w:cs="Arial"/>
                <w:sz w:val="22"/>
                <w:szCs w:val="22"/>
              </w:rPr>
            </w:pPr>
            <w:r w:rsidRPr="000C7DB5">
              <w:rPr>
                <w:rFonts w:ascii="Verdana" w:eastAsia="Calibri" w:hAnsi="Verdana" w:cs="Arial"/>
                <w:sz w:val="22"/>
                <w:szCs w:val="22"/>
              </w:rPr>
              <w:t>Payments prior to:</w:t>
            </w:r>
          </w:p>
          <w:p w14:paraId="67E73078" w14:textId="77777777" w:rsidR="000C7DB5" w:rsidRPr="000C7DB5" w:rsidRDefault="000C7DB5" w:rsidP="000C7DB5">
            <w:pPr>
              <w:numPr>
                <w:ilvl w:val="0"/>
                <w:numId w:val="2"/>
              </w:numPr>
              <w:ind w:left="714" w:hanging="357"/>
              <w:jc w:val="both"/>
              <w:rPr>
                <w:rFonts w:ascii="Verdana" w:eastAsia="Calibri" w:hAnsi="Verdana" w:cs="Arial"/>
                <w:sz w:val="22"/>
                <w:szCs w:val="22"/>
              </w:rPr>
            </w:pPr>
            <w:r w:rsidRPr="000C7DB5">
              <w:rPr>
                <w:rFonts w:ascii="Verdana" w:eastAsia="Calibri" w:hAnsi="Verdana" w:cs="Arial"/>
                <w:sz w:val="22"/>
                <w:szCs w:val="22"/>
              </w:rPr>
              <w:t>First Occupation – £150,000</w:t>
            </w:r>
          </w:p>
          <w:p w14:paraId="2B3B51DF" w14:textId="77777777" w:rsidR="000C7DB5" w:rsidRPr="000C7DB5" w:rsidRDefault="000C7DB5" w:rsidP="000C7DB5">
            <w:pPr>
              <w:numPr>
                <w:ilvl w:val="0"/>
                <w:numId w:val="2"/>
              </w:numPr>
              <w:ind w:left="714" w:hanging="357"/>
              <w:jc w:val="both"/>
              <w:rPr>
                <w:rFonts w:ascii="Verdana" w:eastAsia="Calibri" w:hAnsi="Verdana" w:cs="Arial"/>
                <w:sz w:val="22"/>
                <w:szCs w:val="22"/>
              </w:rPr>
            </w:pPr>
            <w:r w:rsidRPr="000C7DB5">
              <w:rPr>
                <w:rFonts w:ascii="Verdana" w:eastAsia="Calibri" w:hAnsi="Verdana" w:cs="Arial"/>
                <w:sz w:val="22"/>
                <w:szCs w:val="22"/>
              </w:rPr>
              <w:t>Occupation of 100 Dwellings - £150,000</w:t>
            </w:r>
          </w:p>
          <w:p w14:paraId="1DC0AF88" w14:textId="77777777" w:rsidR="000C7DB5" w:rsidRPr="000C7DB5" w:rsidRDefault="000C7DB5" w:rsidP="000C7DB5">
            <w:pPr>
              <w:numPr>
                <w:ilvl w:val="0"/>
                <w:numId w:val="2"/>
              </w:numPr>
              <w:ind w:left="714" w:hanging="357"/>
              <w:jc w:val="both"/>
              <w:rPr>
                <w:rFonts w:ascii="Verdana" w:eastAsia="Calibri" w:hAnsi="Verdana" w:cs="Arial"/>
                <w:sz w:val="22"/>
                <w:szCs w:val="22"/>
              </w:rPr>
            </w:pPr>
            <w:r w:rsidRPr="000C7DB5">
              <w:rPr>
                <w:rFonts w:ascii="Verdana" w:eastAsia="Calibri" w:hAnsi="Verdana" w:cs="Arial"/>
                <w:sz w:val="22"/>
                <w:szCs w:val="22"/>
              </w:rPr>
              <w:t>Occupation of 200 Dwellings - £150,000</w:t>
            </w:r>
          </w:p>
          <w:p w14:paraId="041AADE1" w14:textId="77777777" w:rsidR="000C7DB5" w:rsidRPr="000C7DB5" w:rsidRDefault="000C7DB5" w:rsidP="000C7DB5">
            <w:pPr>
              <w:numPr>
                <w:ilvl w:val="0"/>
                <w:numId w:val="2"/>
              </w:numPr>
              <w:ind w:left="714" w:hanging="357"/>
              <w:jc w:val="both"/>
              <w:rPr>
                <w:rFonts w:ascii="Verdana" w:eastAsia="Calibri" w:hAnsi="Verdana" w:cs="Arial"/>
                <w:sz w:val="22"/>
                <w:szCs w:val="22"/>
              </w:rPr>
            </w:pPr>
            <w:r w:rsidRPr="000C7DB5">
              <w:rPr>
                <w:rFonts w:ascii="Verdana" w:eastAsia="Calibri" w:hAnsi="Verdana" w:cs="Arial"/>
                <w:sz w:val="22"/>
                <w:szCs w:val="22"/>
              </w:rPr>
              <w:t>Occupation of 300 Dwellings  - £150,000</w:t>
            </w:r>
          </w:p>
          <w:p w14:paraId="0E8D506E" w14:textId="77777777" w:rsidR="000C7DB5" w:rsidRPr="000C7DB5" w:rsidRDefault="000C7DB5" w:rsidP="000C7DB5">
            <w:pPr>
              <w:numPr>
                <w:ilvl w:val="0"/>
                <w:numId w:val="2"/>
              </w:numPr>
              <w:ind w:left="714" w:hanging="357"/>
              <w:jc w:val="both"/>
              <w:rPr>
                <w:rFonts w:ascii="Verdana" w:eastAsia="Calibri" w:hAnsi="Verdana" w:cs="Arial"/>
                <w:sz w:val="22"/>
                <w:szCs w:val="22"/>
              </w:rPr>
            </w:pPr>
            <w:r w:rsidRPr="000C7DB5">
              <w:rPr>
                <w:rFonts w:ascii="Verdana" w:eastAsia="Calibri" w:hAnsi="Verdana" w:cs="Arial"/>
                <w:sz w:val="22"/>
                <w:szCs w:val="22"/>
              </w:rPr>
              <w:t>Occupation of 400 Dwellings - £300,000</w:t>
            </w:r>
          </w:p>
          <w:p w14:paraId="5E534E92" w14:textId="77777777" w:rsidR="000C7DB5" w:rsidRPr="000C7DB5" w:rsidRDefault="000C7DB5" w:rsidP="000C7DB5">
            <w:pPr>
              <w:numPr>
                <w:ilvl w:val="0"/>
                <w:numId w:val="2"/>
              </w:numPr>
              <w:ind w:left="714" w:hanging="357"/>
              <w:jc w:val="both"/>
              <w:rPr>
                <w:rFonts w:ascii="Verdana" w:eastAsia="Calibri" w:hAnsi="Verdana" w:cs="Arial"/>
                <w:sz w:val="22"/>
                <w:szCs w:val="22"/>
              </w:rPr>
            </w:pPr>
            <w:r w:rsidRPr="000C7DB5">
              <w:rPr>
                <w:rFonts w:ascii="Verdana" w:eastAsia="Calibri" w:hAnsi="Verdana" w:cs="Arial"/>
                <w:sz w:val="22"/>
                <w:szCs w:val="22"/>
              </w:rPr>
              <w:t>Occupation of 500 Dwellings - £300,000</w:t>
            </w:r>
          </w:p>
          <w:p w14:paraId="3CFA233C" w14:textId="77777777" w:rsidR="000C7DB5" w:rsidRPr="000C7DB5" w:rsidRDefault="000C7DB5" w:rsidP="000C7DB5">
            <w:pPr>
              <w:numPr>
                <w:ilvl w:val="0"/>
                <w:numId w:val="2"/>
              </w:numPr>
              <w:ind w:left="714" w:hanging="357"/>
              <w:jc w:val="both"/>
              <w:rPr>
                <w:rFonts w:ascii="Verdana" w:eastAsia="Calibri" w:hAnsi="Verdana" w:cs="Arial"/>
                <w:sz w:val="22"/>
                <w:szCs w:val="22"/>
              </w:rPr>
            </w:pPr>
            <w:r w:rsidRPr="000C7DB5">
              <w:rPr>
                <w:rFonts w:ascii="Verdana" w:eastAsia="Calibri" w:hAnsi="Verdana" w:cs="Arial"/>
                <w:sz w:val="22"/>
                <w:szCs w:val="22"/>
              </w:rPr>
              <w:t>Occupation of 600 Dwellings –£300,000</w:t>
            </w:r>
          </w:p>
          <w:p w14:paraId="632699B9" w14:textId="77777777" w:rsidR="000C7DB5" w:rsidRPr="000C7DB5" w:rsidRDefault="000C7DB5" w:rsidP="000C7DB5">
            <w:pPr>
              <w:numPr>
                <w:ilvl w:val="0"/>
                <w:numId w:val="2"/>
              </w:numPr>
              <w:ind w:left="714" w:hanging="357"/>
              <w:jc w:val="both"/>
              <w:rPr>
                <w:rFonts w:ascii="Verdana" w:eastAsia="Calibri" w:hAnsi="Verdana" w:cs="Arial"/>
                <w:sz w:val="22"/>
                <w:szCs w:val="22"/>
              </w:rPr>
            </w:pPr>
            <w:r w:rsidRPr="000C7DB5">
              <w:rPr>
                <w:rFonts w:ascii="Verdana" w:eastAsia="Calibri" w:hAnsi="Verdana" w:cs="Arial"/>
                <w:sz w:val="22"/>
                <w:szCs w:val="22"/>
              </w:rPr>
              <w:t>Occupation of 700 Dwellings -  £300,000</w:t>
            </w:r>
          </w:p>
          <w:p w14:paraId="5AE441BF" w14:textId="77777777" w:rsidR="000C7DB5" w:rsidRPr="000C7DB5" w:rsidRDefault="000C7DB5" w:rsidP="000C7DB5">
            <w:pPr>
              <w:numPr>
                <w:ilvl w:val="0"/>
                <w:numId w:val="2"/>
              </w:numPr>
              <w:ind w:left="714" w:hanging="357"/>
              <w:jc w:val="both"/>
              <w:rPr>
                <w:rFonts w:ascii="Verdana" w:eastAsia="Calibri" w:hAnsi="Verdana" w:cs="Arial"/>
                <w:sz w:val="22"/>
                <w:szCs w:val="22"/>
              </w:rPr>
            </w:pPr>
            <w:r w:rsidRPr="000C7DB5">
              <w:rPr>
                <w:rFonts w:ascii="Verdana" w:eastAsia="Calibri" w:hAnsi="Verdana" w:cs="Arial"/>
                <w:sz w:val="22"/>
                <w:szCs w:val="22"/>
              </w:rPr>
              <w:t>Occupation of 800 Dwellings - £300,000</w:t>
            </w:r>
          </w:p>
          <w:p w14:paraId="01BB19AD" w14:textId="77777777" w:rsidR="000C7DB5" w:rsidRPr="000C7DB5" w:rsidRDefault="000C7DB5" w:rsidP="000C7DB5">
            <w:pPr>
              <w:numPr>
                <w:ilvl w:val="0"/>
                <w:numId w:val="2"/>
              </w:numPr>
              <w:ind w:left="714" w:hanging="357"/>
              <w:jc w:val="both"/>
              <w:rPr>
                <w:rFonts w:ascii="Verdana" w:eastAsia="Calibri" w:hAnsi="Verdana" w:cs="Arial"/>
                <w:sz w:val="22"/>
                <w:szCs w:val="22"/>
              </w:rPr>
            </w:pPr>
            <w:r w:rsidRPr="000C7DB5">
              <w:rPr>
                <w:rFonts w:ascii="Verdana" w:eastAsia="Calibri" w:hAnsi="Verdana" w:cs="Arial"/>
                <w:sz w:val="22"/>
                <w:szCs w:val="22"/>
              </w:rPr>
              <w:t>Occupation of 1000 Dwellings - £200,000</w:t>
            </w:r>
          </w:p>
          <w:p w14:paraId="01D4BACC" w14:textId="77777777" w:rsidR="000C7DB5" w:rsidRPr="000C7DB5" w:rsidRDefault="000C7DB5" w:rsidP="000C7DB5">
            <w:pPr>
              <w:numPr>
                <w:ilvl w:val="0"/>
                <w:numId w:val="2"/>
              </w:numPr>
              <w:ind w:left="714" w:hanging="357"/>
              <w:jc w:val="both"/>
              <w:rPr>
                <w:rFonts w:ascii="Verdana" w:eastAsia="Calibri" w:hAnsi="Verdana" w:cs="Arial"/>
                <w:sz w:val="22"/>
                <w:szCs w:val="22"/>
              </w:rPr>
            </w:pPr>
            <w:r w:rsidRPr="000C7DB5">
              <w:rPr>
                <w:rFonts w:ascii="Verdana" w:eastAsia="Calibri" w:hAnsi="Verdana" w:cs="Arial"/>
                <w:sz w:val="22"/>
                <w:szCs w:val="22"/>
              </w:rPr>
              <w:t>Occupation of 1150 Dwellings - £200,000</w:t>
            </w:r>
          </w:p>
        </w:tc>
      </w:tr>
      <w:tr w:rsidR="000C7DB5" w:rsidRPr="000C7DB5" w14:paraId="6B3A323C" w14:textId="77777777" w:rsidTr="007510F9">
        <w:tc>
          <w:tcPr>
            <w:tcW w:w="3114" w:type="dxa"/>
          </w:tcPr>
          <w:p w14:paraId="29B67B0F" w14:textId="77777777" w:rsidR="000C7DB5" w:rsidRPr="000C7DB5" w:rsidRDefault="000C7DB5" w:rsidP="000C7DB5">
            <w:pPr>
              <w:spacing w:after="240"/>
              <w:jc w:val="both"/>
              <w:rPr>
                <w:rFonts w:ascii="Verdana" w:eastAsia="Calibri" w:hAnsi="Verdana" w:cs="Arial"/>
                <w:b/>
                <w:bCs/>
                <w:sz w:val="22"/>
                <w:szCs w:val="22"/>
              </w:rPr>
            </w:pPr>
            <w:r w:rsidRPr="000C7DB5">
              <w:rPr>
                <w:rFonts w:ascii="Verdana" w:eastAsia="Calibri" w:hAnsi="Verdana" w:cs="Arial"/>
                <w:b/>
                <w:bCs/>
                <w:sz w:val="22"/>
                <w:szCs w:val="22"/>
              </w:rPr>
              <w:t>TRO Contribution</w:t>
            </w:r>
          </w:p>
        </w:tc>
        <w:tc>
          <w:tcPr>
            <w:tcW w:w="6514" w:type="dxa"/>
          </w:tcPr>
          <w:p w14:paraId="589BC750" w14:textId="09FD479B" w:rsidR="000C7DB5" w:rsidRPr="000C7DB5" w:rsidRDefault="000C7DB5" w:rsidP="000C7DB5">
            <w:pPr>
              <w:spacing w:after="240"/>
              <w:jc w:val="both"/>
              <w:rPr>
                <w:rFonts w:ascii="Verdana" w:eastAsia="Calibri" w:hAnsi="Verdana" w:cs="Arial"/>
                <w:sz w:val="22"/>
                <w:szCs w:val="22"/>
              </w:rPr>
            </w:pPr>
            <w:r w:rsidRPr="000C7DB5">
              <w:rPr>
                <w:rFonts w:ascii="Verdana" w:eastAsia="Calibri" w:hAnsi="Verdana" w:cs="Arial"/>
                <w:sz w:val="22"/>
                <w:szCs w:val="22"/>
              </w:rPr>
              <w:t xml:space="preserve">Reprofiling payment triggers for this contribution, so they fall due at 14 x £7,500 increments </w:t>
            </w:r>
            <w:r w:rsidR="00450F36" w:rsidRPr="000C7DB5">
              <w:rPr>
                <w:rFonts w:ascii="Verdana" w:eastAsia="Calibri" w:hAnsi="Verdana" w:cs="Arial"/>
                <w:sz w:val="22"/>
                <w:szCs w:val="22"/>
              </w:rPr>
              <w:t>commencing</w:t>
            </w:r>
            <w:r w:rsidRPr="000C7DB5">
              <w:rPr>
                <w:rFonts w:ascii="Verdana" w:eastAsia="Calibri" w:hAnsi="Verdana" w:cs="Arial"/>
                <w:sz w:val="22"/>
                <w:szCs w:val="22"/>
              </w:rPr>
              <w:t xml:space="preserve"> when the NAR is practically completed, at 250 Dwelling increments therafter, until Occupation of 3250 Dwellings. </w:t>
            </w:r>
          </w:p>
        </w:tc>
      </w:tr>
      <w:tr w:rsidR="000C7DB5" w:rsidRPr="000C7DB5" w14:paraId="6D2DA950" w14:textId="77777777" w:rsidTr="007510F9">
        <w:tc>
          <w:tcPr>
            <w:tcW w:w="3114" w:type="dxa"/>
          </w:tcPr>
          <w:p w14:paraId="32A61066" w14:textId="77777777" w:rsidR="000C7DB5" w:rsidRPr="000C7DB5" w:rsidRDefault="000C7DB5" w:rsidP="000C7DB5">
            <w:pPr>
              <w:spacing w:after="240"/>
              <w:jc w:val="both"/>
              <w:rPr>
                <w:rFonts w:ascii="Verdana" w:eastAsia="Calibri" w:hAnsi="Verdana" w:cs="Arial"/>
                <w:b/>
                <w:bCs/>
                <w:sz w:val="22"/>
                <w:szCs w:val="22"/>
              </w:rPr>
            </w:pPr>
            <w:r w:rsidRPr="000C7DB5">
              <w:rPr>
                <w:rFonts w:ascii="Verdana" w:eastAsia="Calibri" w:hAnsi="Verdana" w:cs="Arial"/>
                <w:b/>
                <w:bCs/>
                <w:sz w:val="22"/>
                <w:szCs w:val="22"/>
              </w:rPr>
              <w:t xml:space="preserve">P&amp;R Extension Contribution </w:t>
            </w:r>
          </w:p>
        </w:tc>
        <w:tc>
          <w:tcPr>
            <w:tcW w:w="6514" w:type="dxa"/>
          </w:tcPr>
          <w:p w14:paraId="27CFE269" w14:textId="30C0D833" w:rsidR="000C7DB5" w:rsidRPr="000C7DB5" w:rsidRDefault="000C7DB5" w:rsidP="000C7DB5">
            <w:pPr>
              <w:spacing w:after="240"/>
              <w:jc w:val="both"/>
              <w:rPr>
                <w:rFonts w:ascii="Verdana" w:eastAsia="Calibri" w:hAnsi="Verdana" w:cs="Arial"/>
                <w:sz w:val="22"/>
                <w:szCs w:val="22"/>
              </w:rPr>
            </w:pPr>
            <w:r w:rsidRPr="000C7DB5">
              <w:rPr>
                <w:rFonts w:ascii="Verdana" w:eastAsia="Calibri" w:hAnsi="Verdana" w:cs="Arial"/>
                <w:sz w:val="22"/>
                <w:szCs w:val="22"/>
              </w:rPr>
              <w:t xml:space="preserve">Clarifying that this contribution can be spent on P&amp;R Extension design as well as </w:t>
            </w:r>
            <w:r w:rsidR="00450F36" w:rsidRPr="000C7DB5">
              <w:rPr>
                <w:rFonts w:ascii="Verdana" w:eastAsia="Calibri" w:hAnsi="Verdana" w:cs="Arial"/>
                <w:sz w:val="22"/>
                <w:szCs w:val="22"/>
              </w:rPr>
              <w:t>construction</w:t>
            </w:r>
            <w:r w:rsidRPr="000C7DB5">
              <w:rPr>
                <w:rFonts w:ascii="Verdana" w:eastAsia="Calibri" w:hAnsi="Verdana" w:cs="Arial"/>
                <w:sz w:val="22"/>
                <w:szCs w:val="22"/>
              </w:rPr>
              <w:t xml:space="preserve"> costs. Also clarifying that the Highway Authority will confirm, by service of a notice before occupation of 500 Dwellings (roughly 2027/2028, depending on build out rates), whether or not the Extension is required to </w:t>
            </w:r>
            <w:r w:rsidR="00450F36" w:rsidRPr="000C7DB5">
              <w:rPr>
                <w:rFonts w:ascii="Verdana" w:eastAsia="Calibri" w:hAnsi="Verdana" w:cs="Arial"/>
                <w:sz w:val="22"/>
                <w:szCs w:val="22"/>
              </w:rPr>
              <w:t>mitigate</w:t>
            </w:r>
            <w:r w:rsidRPr="000C7DB5">
              <w:rPr>
                <w:rFonts w:ascii="Verdana" w:eastAsia="Calibri" w:hAnsi="Verdana" w:cs="Arial"/>
                <w:sz w:val="22"/>
                <w:szCs w:val="22"/>
              </w:rPr>
              <w:t xml:space="preserve"> the traffic impacts of the development. If such notice is not served, the monies are still collected but can be expended instead towards the mitigation measures secured through the Transport Contribution. This spending flexibility is justified in planning terms because it should improve the ability of the development to meet its sustainable transport objectives and reduce reliance on the Sustainable Transport Bond. </w:t>
            </w:r>
          </w:p>
        </w:tc>
      </w:tr>
      <w:tr w:rsidR="000C7DB5" w:rsidRPr="000C7DB5" w14:paraId="60BD8958" w14:textId="77777777" w:rsidTr="007510F9">
        <w:tc>
          <w:tcPr>
            <w:tcW w:w="3114" w:type="dxa"/>
          </w:tcPr>
          <w:p w14:paraId="0BC553BB" w14:textId="77777777" w:rsidR="000C7DB5" w:rsidRPr="000C7DB5" w:rsidRDefault="000C7DB5" w:rsidP="000C7DB5">
            <w:pPr>
              <w:spacing w:after="240"/>
              <w:jc w:val="both"/>
              <w:rPr>
                <w:rFonts w:ascii="Verdana" w:eastAsia="Calibri" w:hAnsi="Verdana" w:cs="Arial"/>
                <w:b/>
                <w:bCs/>
                <w:sz w:val="22"/>
                <w:szCs w:val="22"/>
              </w:rPr>
            </w:pPr>
            <w:r w:rsidRPr="000C7DB5">
              <w:rPr>
                <w:rFonts w:ascii="Verdana" w:eastAsia="Calibri" w:hAnsi="Verdana" w:cs="Arial"/>
                <w:b/>
                <w:bCs/>
                <w:sz w:val="22"/>
                <w:szCs w:val="22"/>
              </w:rPr>
              <w:t>SANG  / SAC Contributions</w:t>
            </w:r>
          </w:p>
        </w:tc>
        <w:tc>
          <w:tcPr>
            <w:tcW w:w="6514" w:type="dxa"/>
          </w:tcPr>
          <w:p w14:paraId="2C29F58A" w14:textId="77777777" w:rsidR="000C7DB5" w:rsidRPr="000C7DB5" w:rsidRDefault="000C7DB5" w:rsidP="000C7DB5">
            <w:pPr>
              <w:spacing w:after="240"/>
              <w:jc w:val="both"/>
              <w:rPr>
                <w:rFonts w:ascii="Verdana" w:eastAsia="Calibri" w:hAnsi="Verdana" w:cs="Arial"/>
                <w:sz w:val="22"/>
                <w:szCs w:val="22"/>
              </w:rPr>
            </w:pPr>
            <w:r w:rsidRPr="000C7DB5">
              <w:rPr>
                <w:rFonts w:ascii="Verdana" w:eastAsia="Calibri" w:hAnsi="Verdana" w:cs="Arial"/>
                <w:sz w:val="22"/>
                <w:szCs w:val="22"/>
              </w:rPr>
              <w:t xml:space="preserve">Clarifying that the SANG is the LPA’s preferred mitigation for recreational impacts arising from development in phases 1 and 2; but allowing for payment of SAC Contributions in lieu, in the event delivery is not possible or insufficient for any reason. </w:t>
            </w:r>
          </w:p>
        </w:tc>
      </w:tr>
      <w:tr w:rsidR="000C7DB5" w:rsidRPr="000C7DB5" w14:paraId="6E9C017A" w14:textId="77777777" w:rsidTr="007510F9">
        <w:tc>
          <w:tcPr>
            <w:tcW w:w="3114" w:type="dxa"/>
          </w:tcPr>
          <w:p w14:paraId="624AE97B" w14:textId="77777777" w:rsidR="000C7DB5" w:rsidRPr="000C7DB5" w:rsidRDefault="000C7DB5" w:rsidP="000C7DB5">
            <w:pPr>
              <w:spacing w:after="240"/>
              <w:jc w:val="both"/>
              <w:rPr>
                <w:rFonts w:ascii="Verdana" w:eastAsia="Calibri" w:hAnsi="Verdana" w:cs="Arial"/>
                <w:b/>
                <w:bCs/>
                <w:sz w:val="22"/>
                <w:szCs w:val="22"/>
              </w:rPr>
            </w:pPr>
            <w:r w:rsidRPr="000C7DB5">
              <w:rPr>
                <w:rFonts w:ascii="Verdana" w:eastAsia="Calibri" w:hAnsi="Verdana" w:cs="Arial"/>
                <w:b/>
                <w:bCs/>
                <w:sz w:val="22"/>
                <w:szCs w:val="22"/>
              </w:rPr>
              <w:t>Neighbourhood Design Code Review and Implementation Contribution</w:t>
            </w:r>
          </w:p>
        </w:tc>
        <w:tc>
          <w:tcPr>
            <w:tcW w:w="6514" w:type="dxa"/>
          </w:tcPr>
          <w:p w14:paraId="6EEBFED4" w14:textId="363FEB67" w:rsidR="000C7DB5" w:rsidRPr="000C7DB5" w:rsidRDefault="000C7DB5" w:rsidP="000C7DB5">
            <w:pPr>
              <w:spacing w:after="240"/>
              <w:jc w:val="both"/>
              <w:rPr>
                <w:rFonts w:ascii="Verdana" w:eastAsia="Calibri" w:hAnsi="Verdana" w:cs="Arial"/>
                <w:sz w:val="22"/>
                <w:szCs w:val="22"/>
              </w:rPr>
            </w:pPr>
            <w:r w:rsidRPr="000C7DB5">
              <w:rPr>
                <w:rFonts w:ascii="Verdana" w:eastAsia="Calibri" w:hAnsi="Verdana" w:cs="Arial"/>
                <w:sz w:val="22"/>
                <w:szCs w:val="22"/>
              </w:rPr>
              <w:t xml:space="preserve">Clarifying that the payment trigger is within 20 working days of validation of a RM for an area including a Neighbourhood (unless already paid pursuant to condition 9 of the OPP e.g. where a RM is submitted before the LPA enters into a MOU to underwrite the s106 </w:t>
            </w:r>
            <w:r w:rsidRPr="000C7DB5">
              <w:rPr>
                <w:rFonts w:ascii="Verdana" w:eastAsia="Calibri" w:hAnsi="Verdana" w:cs="Arial"/>
                <w:sz w:val="22"/>
                <w:szCs w:val="22"/>
              </w:rPr>
              <w:lastRenderedPageBreak/>
              <w:t xml:space="preserve">obligations pursuant to the conditions governing the Section 106 over the LPA’s land). </w:t>
            </w:r>
            <w:r w:rsidR="00F43B23">
              <w:rPr>
                <w:rFonts w:ascii="Verdana" w:eastAsia="Calibri" w:hAnsi="Verdana" w:cs="Arial"/>
                <w:sz w:val="22"/>
                <w:szCs w:val="22"/>
              </w:rPr>
              <w:t>Allowing for pro rata payments in respect of applications which do not cover an entire Neighbourhood.</w:t>
            </w:r>
          </w:p>
        </w:tc>
      </w:tr>
      <w:tr w:rsidR="000C7DB5" w:rsidRPr="000C7DB5" w14:paraId="08ADC32D" w14:textId="77777777" w:rsidTr="007510F9">
        <w:tc>
          <w:tcPr>
            <w:tcW w:w="3114" w:type="dxa"/>
          </w:tcPr>
          <w:p w14:paraId="71F185E6" w14:textId="77777777" w:rsidR="000C7DB5" w:rsidRPr="000C7DB5" w:rsidRDefault="000C7DB5" w:rsidP="000C7DB5">
            <w:pPr>
              <w:spacing w:after="240"/>
              <w:jc w:val="both"/>
              <w:rPr>
                <w:rFonts w:ascii="Verdana" w:eastAsia="Calibri" w:hAnsi="Verdana" w:cs="Arial"/>
                <w:b/>
                <w:bCs/>
                <w:sz w:val="22"/>
                <w:szCs w:val="22"/>
              </w:rPr>
            </w:pPr>
            <w:r w:rsidRPr="000C7DB5">
              <w:rPr>
                <w:rFonts w:ascii="Verdana" w:eastAsia="Calibri" w:hAnsi="Verdana" w:cs="Arial"/>
                <w:b/>
                <w:bCs/>
                <w:sz w:val="22"/>
                <w:szCs w:val="22"/>
              </w:rPr>
              <w:lastRenderedPageBreak/>
              <w:t>District Heating Network Connection</w:t>
            </w:r>
          </w:p>
        </w:tc>
        <w:tc>
          <w:tcPr>
            <w:tcW w:w="6514" w:type="dxa"/>
          </w:tcPr>
          <w:p w14:paraId="59AACE00" w14:textId="77777777" w:rsidR="000C7DB5" w:rsidRPr="000C7DB5" w:rsidRDefault="000C7DB5" w:rsidP="000C7DB5">
            <w:pPr>
              <w:spacing w:after="240"/>
              <w:jc w:val="both"/>
              <w:rPr>
                <w:rFonts w:ascii="Verdana" w:eastAsia="Calibri" w:hAnsi="Verdana" w:cs="Arial"/>
                <w:sz w:val="22"/>
                <w:szCs w:val="22"/>
              </w:rPr>
            </w:pPr>
            <w:r w:rsidRPr="000C7DB5">
              <w:rPr>
                <w:rFonts w:ascii="Verdana" w:eastAsia="Calibri" w:hAnsi="Verdana" w:cs="Arial"/>
                <w:sz w:val="22"/>
                <w:szCs w:val="22"/>
              </w:rPr>
              <w:t>Clarifying that the obligation to use reasonable endeavours to connect to a DHN crystallises if the DHN is in place before any RMA is validated (so RMs can be designed in a way to accommodate such connections).</w:t>
            </w:r>
          </w:p>
        </w:tc>
      </w:tr>
      <w:tr w:rsidR="000C7DB5" w:rsidRPr="000C7DB5" w14:paraId="080F771E" w14:textId="77777777" w:rsidTr="007510F9">
        <w:tc>
          <w:tcPr>
            <w:tcW w:w="3114" w:type="dxa"/>
          </w:tcPr>
          <w:p w14:paraId="0D253B6A" w14:textId="77777777" w:rsidR="000C7DB5" w:rsidRPr="000C7DB5" w:rsidRDefault="000C7DB5" w:rsidP="000C7DB5">
            <w:pPr>
              <w:spacing w:after="240"/>
              <w:jc w:val="both"/>
              <w:rPr>
                <w:rFonts w:ascii="Verdana" w:eastAsia="Calibri" w:hAnsi="Verdana" w:cs="Arial"/>
                <w:b/>
                <w:bCs/>
                <w:sz w:val="22"/>
                <w:szCs w:val="22"/>
              </w:rPr>
            </w:pPr>
            <w:r w:rsidRPr="000C7DB5">
              <w:rPr>
                <w:rFonts w:ascii="Verdana" w:eastAsia="Calibri" w:hAnsi="Verdana" w:cs="Arial"/>
                <w:b/>
                <w:bCs/>
                <w:sz w:val="22"/>
                <w:szCs w:val="22"/>
              </w:rPr>
              <w:t>Police Contribution</w:t>
            </w:r>
          </w:p>
        </w:tc>
        <w:tc>
          <w:tcPr>
            <w:tcW w:w="6514" w:type="dxa"/>
          </w:tcPr>
          <w:p w14:paraId="68650F79" w14:textId="6F5D68F9" w:rsidR="000C7DB5" w:rsidRPr="000C7DB5" w:rsidRDefault="000C7DB5" w:rsidP="000C7DB5">
            <w:pPr>
              <w:spacing w:after="240"/>
              <w:jc w:val="both"/>
              <w:rPr>
                <w:rFonts w:ascii="Verdana" w:eastAsia="Calibri" w:hAnsi="Verdana" w:cs="Arial"/>
                <w:sz w:val="22"/>
                <w:szCs w:val="22"/>
              </w:rPr>
            </w:pPr>
            <w:r w:rsidRPr="000C7DB5">
              <w:rPr>
                <w:rFonts w:ascii="Verdana" w:eastAsia="Calibri" w:hAnsi="Verdana" w:cs="Arial"/>
                <w:sz w:val="22"/>
                <w:szCs w:val="22"/>
              </w:rPr>
              <w:t>Incorporating a financial contribution in the total sum of £127,000 Index Linked payable towards police personnel infrastructure, prior to occupation of Open Market Dwellings, at a rate of £58 per Dwelling.</w:t>
            </w:r>
          </w:p>
        </w:tc>
      </w:tr>
      <w:tr w:rsidR="000C7DB5" w:rsidRPr="000C7DB5" w14:paraId="5D448C17" w14:textId="77777777" w:rsidTr="007510F9">
        <w:tc>
          <w:tcPr>
            <w:tcW w:w="3114" w:type="dxa"/>
          </w:tcPr>
          <w:p w14:paraId="54596B6D" w14:textId="77777777" w:rsidR="000C7DB5" w:rsidRPr="000C7DB5" w:rsidRDefault="000C7DB5" w:rsidP="000C7DB5">
            <w:pPr>
              <w:spacing w:after="240"/>
              <w:jc w:val="both"/>
              <w:rPr>
                <w:rFonts w:ascii="Verdana" w:eastAsia="Calibri" w:hAnsi="Verdana" w:cs="Arial"/>
                <w:b/>
                <w:bCs/>
                <w:sz w:val="22"/>
                <w:szCs w:val="22"/>
              </w:rPr>
            </w:pPr>
            <w:r w:rsidRPr="000C7DB5">
              <w:rPr>
                <w:rFonts w:ascii="Verdana" w:eastAsia="Calibri" w:hAnsi="Verdana" w:cs="Arial"/>
                <w:b/>
                <w:bCs/>
                <w:sz w:val="22"/>
                <w:szCs w:val="22"/>
              </w:rPr>
              <w:t>Affordable Housing</w:t>
            </w:r>
          </w:p>
        </w:tc>
        <w:tc>
          <w:tcPr>
            <w:tcW w:w="6514" w:type="dxa"/>
          </w:tcPr>
          <w:p w14:paraId="057B10EA" w14:textId="77777777" w:rsidR="000C7DB5" w:rsidRPr="000C7DB5" w:rsidRDefault="000C7DB5" w:rsidP="000C7DB5">
            <w:pPr>
              <w:spacing w:after="240"/>
              <w:jc w:val="both"/>
              <w:rPr>
                <w:rFonts w:ascii="Verdana" w:eastAsia="Calibri" w:hAnsi="Verdana" w:cs="Arial"/>
                <w:sz w:val="22"/>
                <w:szCs w:val="22"/>
              </w:rPr>
            </w:pPr>
            <w:r w:rsidRPr="000C7DB5">
              <w:rPr>
                <w:rFonts w:ascii="Verdana" w:eastAsia="Calibri" w:hAnsi="Verdana" w:cs="Arial"/>
                <w:sz w:val="22"/>
                <w:szCs w:val="22"/>
              </w:rPr>
              <w:t>Incorporating CC’s standard terms for Local Connections in parished areas and terms governing the marketing and allocation of Social Rented Dwellings, Intermediate Homes for Sale and First Homes, alongside other tenures which may be approved by the LPA as part of the Affordable Housing Mix to be approved in connection with RMAs.</w:t>
            </w:r>
          </w:p>
        </w:tc>
      </w:tr>
      <w:tr w:rsidR="000C7DB5" w:rsidRPr="000C7DB5" w14:paraId="7D55EB4F" w14:textId="77777777" w:rsidTr="007510F9">
        <w:tc>
          <w:tcPr>
            <w:tcW w:w="3114" w:type="dxa"/>
          </w:tcPr>
          <w:p w14:paraId="29BF3934" w14:textId="77777777" w:rsidR="000C7DB5" w:rsidRPr="000C7DB5" w:rsidRDefault="000C7DB5" w:rsidP="000C7DB5">
            <w:pPr>
              <w:spacing w:after="240"/>
              <w:jc w:val="both"/>
              <w:rPr>
                <w:rFonts w:ascii="Verdana" w:eastAsia="Calibri" w:hAnsi="Verdana" w:cs="Arial"/>
                <w:b/>
                <w:bCs/>
                <w:sz w:val="22"/>
                <w:szCs w:val="22"/>
              </w:rPr>
            </w:pPr>
            <w:r w:rsidRPr="000C7DB5">
              <w:rPr>
                <w:rFonts w:ascii="Verdana" w:eastAsia="Calibri" w:hAnsi="Verdana" w:cs="Arial"/>
                <w:b/>
                <w:bCs/>
                <w:sz w:val="22"/>
                <w:szCs w:val="22"/>
              </w:rPr>
              <w:t xml:space="preserve">Self Build, Extra Care and Student Accommodation </w:t>
            </w:r>
          </w:p>
        </w:tc>
        <w:tc>
          <w:tcPr>
            <w:tcW w:w="6514" w:type="dxa"/>
          </w:tcPr>
          <w:p w14:paraId="28025A7B" w14:textId="77777777" w:rsidR="000C7DB5" w:rsidRPr="000C7DB5" w:rsidRDefault="000C7DB5" w:rsidP="000C7DB5">
            <w:pPr>
              <w:spacing w:after="240"/>
              <w:jc w:val="both"/>
              <w:rPr>
                <w:rFonts w:ascii="Verdana" w:eastAsia="Calibri" w:hAnsi="Verdana" w:cs="Arial"/>
                <w:sz w:val="22"/>
                <w:szCs w:val="22"/>
              </w:rPr>
            </w:pPr>
            <w:r w:rsidRPr="000C7DB5">
              <w:rPr>
                <w:rFonts w:ascii="Verdana" w:eastAsia="Calibri" w:hAnsi="Verdana" w:cs="Arial"/>
                <w:sz w:val="22"/>
                <w:szCs w:val="22"/>
              </w:rPr>
              <w:t xml:space="preserve">Incorporating an obligation to submit to and obtain the LPA’s approval of marketing schemes for each bespoke unit type prior to implementation of relevant units – to ensure these are marketed to the relevant demographics and serve the relevant housing need at the relevant time. </w:t>
            </w:r>
          </w:p>
        </w:tc>
      </w:tr>
      <w:tr w:rsidR="000C7DB5" w:rsidRPr="000C7DB5" w14:paraId="1B8516EE" w14:textId="77777777" w:rsidTr="007510F9">
        <w:tc>
          <w:tcPr>
            <w:tcW w:w="3114" w:type="dxa"/>
          </w:tcPr>
          <w:p w14:paraId="6431329A" w14:textId="77777777" w:rsidR="000C7DB5" w:rsidRPr="000C7DB5" w:rsidRDefault="000C7DB5" w:rsidP="000C7DB5">
            <w:pPr>
              <w:spacing w:after="240"/>
              <w:jc w:val="both"/>
              <w:rPr>
                <w:rFonts w:ascii="Verdana" w:eastAsia="Calibri" w:hAnsi="Verdana" w:cs="Arial"/>
                <w:b/>
                <w:bCs/>
                <w:sz w:val="22"/>
                <w:szCs w:val="22"/>
              </w:rPr>
            </w:pPr>
            <w:r w:rsidRPr="000C7DB5">
              <w:rPr>
                <w:rFonts w:ascii="Verdana" w:eastAsia="Calibri" w:hAnsi="Verdana" w:cs="Arial"/>
                <w:b/>
                <w:bCs/>
                <w:sz w:val="22"/>
                <w:szCs w:val="22"/>
              </w:rPr>
              <w:t>Viability Review Mechanism</w:t>
            </w:r>
          </w:p>
        </w:tc>
        <w:tc>
          <w:tcPr>
            <w:tcW w:w="6514" w:type="dxa"/>
          </w:tcPr>
          <w:p w14:paraId="4E6F365B" w14:textId="69331F1F" w:rsidR="000C7DB5" w:rsidRPr="000C7DB5" w:rsidRDefault="000C7DB5" w:rsidP="000C7DB5">
            <w:pPr>
              <w:spacing w:after="240"/>
              <w:jc w:val="both"/>
              <w:rPr>
                <w:rFonts w:ascii="Verdana" w:eastAsia="Calibri" w:hAnsi="Verdana" w:cs="Arial"/>
                <w:sz w:val="22"/>
                <w:szCs w:val="22"/>
              </w:rPr>
            </w:pPr>
            <w:r w:rsidRPr="000C7DB5">
              <w:rPr>
                <w:rFonts w:ascii="Verdana" w:eastAsia="Calibri" w:hAnsi="Verdana" w:cs="Arial"/>
                <w:sz w:val="22"/>
                <w:szCs w:val="22"/>
              </w:rPr>
              <w:t xml:space="preserve">Deleting late stage review and clawback provisions which are complex and rarely utilised in practice; and clarifying that a landowner or developer can only rely on the VRM when RMs are submitted and that such mechanism </w:t>
            </w:r>
            <w:r w:rsidR="00E4344C">
              <w:rPr>
                <w:rFonts w:ascii="Verdana" w:eastAsia="Calibri" w:hAnsi="Verdana" w:cs="Arial"/>
                <w:sz w:val="22"/>
                <w:szCs w:val="22"/>
              </w:rPr>
              <w:t xml:space="preserve">is </w:t>
            </w:r>
            <w:r w:rsidRPr="000C7DB5">
              <w:rPr>
                <w:rFonts w:ascii="Verdana" w:eastAsia="Calibri" w:hAnsi="Verdana" w:cs="Arial"/>
                <w:sz w:val="22"/>
                <w:szCs w:val="22"/>
              </w:rPr>
              <w:t xml:space="preserve">not </w:t>
            </w:r>
            <w:r w:rsidR="00450F36" w:rsidRPr="000C7DB5">
              <w:rPr>
                <w:rFonts w:ascii="Verdana" w:eastAsia="Calibri" w:hAnsi="Verdana" w:cs="Arial"/>
                <w:sz w:val="22"/>
                <w:szCs w:val="22"/>
              </w:rPr>
              <w:t>available</w:t>
            </w:r>
            <w:r w:rsidRPr="000C7DB5">
              <w:rPr>
                <w:rFonts w:ascii="Verdana" w:eastAsia="Calibri" w:hAnsi="Verdana" w:cs="Arial"/>
                <w:sz w:val="22"/>
                <w:szCs w:val="22"/>
              </w:rPr>
              <w:t xml:space="preserve"> after RMs have been determined.</w:t>
            </w:r>
          </w:p>
        </w:tc>
      </w:tr>
    </w:tbl>
    <w:p w14:paraId="11EE7877" w14:textId="66B62B07" w:rsidR="000C7DB5" w:rsidRDefault="000C7DB5" w:rsidP="00CD09B0">
      <w:pPr>
        <w:autoSpaceDE w:val="0"/>
        <w:autoSpaceDN w:val="0"/>
        <w:spacing w:after="0" w:line="240" w:lineRule="auto"/>
        <w:jc w:val="both"/>
        <w:rPr>
          <w:rFonts w:ascii="Verdana" w:eastAsia="Times New Roman" w:hAnsi="Verdana" w:cs="Arial"/>
          <w:color w:val="000000"/>
          <w:lang w:eastAsia="en-GB"/>
        </w:rPr>
      </w:pPr>
    </w:p>
    <w:p w14:paraId="759DA05A" w14:textId="693DE7F0" w:rsidR="00BE394C" w:rsidRDefault="00BE394C" w:rsidP="00CD09B0">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Whilst some of the payment and other compliance triggers have been adjusted to reflect latest assumptions around likely build out rates and infrastructure delivery</w:t>
      </w:r>
      <w:r w:rsidR="00E4344C">
        <w:rPr>
          <w:rFonts w:ascii="Verdana" w:eastAsia="Times New Roman" w:hAnsi="Verdana" w:cs="Arial"/>
          <w:color w:val="000000"/>
          <w:lang w:eastAsia="en-GB"/>
        </w:rPr>
        <w:t>,</w:t>
      </w:r>
      <w:r>
        <w:rPr>
          <w:rFonts w:ascii="Verdana" w:eastAsia="Times New Roman" w:hAnsi="Verdana" w:cs="Arial"/>
          <w:color w:val="000000"/>
          <w:lang w:eastAsia="en-GB"/>
        </w:rPr>
        <w:t xml:space="preserve"> the LPA is satisfied that the Section 106 Obligation</w:t>
      </w:r>
      <w:r w:rsidR="00F43B23">
        <w:rPr>
          <w:rFonts w:ascii="Verdana" w:eastAsia="Times New Roman" w:hAnsi="Verdana" w:cs="Arial"/>
          <w:color w:val="000000"/>
          <w:lang w:eastAsia="en-GB"/>
        </w:rPr>
        <w:t xml:space="preserve"> accompanying this permission</w:t>
      </w:r>
      <w:r>
        <w:rPr>
          <w:rFonts w:ascii="Verdana" w:eastAsia="Times New Roman" w:hAnsi="Verdana" w:cs="Arial"/>
          <w:color w:val="000000"/>
          <w:lang w:eastAsia="en-GB"/>
        </w:rPr>
        <w:t xml:space="preserve"> does not secure any less mitigation than that reported to SPC.  </w:t>
      </w:r>
    </w:p>
    <w:p w14:paraId="6B2788C0" w14:textId="77777777" w:rsidR="00BE394C" w:rsidRDefault="00BE394C" w:rsidP="00CD09B0">
      <w:pPr>
        <w:autoSpaceDE w:val="0"/>
        <w:autoSpaceDN w:val="0"/>
        <w:spacing w:after="0" w:line="240" w:lineRule="auto"/>
        <w:jc w:val="both"/>
        <w:rPr>
          <w:rFonts w:ascii="Verdana" w:eastAsia="Times New Roman" w:hAnsi="Verdana" w:cs="Arial"/>
          <w:color w:val="000000"/>
          <w:lang w:eastAsia="en-GB"/>
        </w:rPr>
      </w:pPr>
    </w:p>
    <w:p w14:paraId="21065514" w14:textId="02CE45B7" w:rsidR="00BE394C" w:rsidRPr="00BE394C" w:rsidRDefault="00BE394C" w:rsidP="00CD09B0">
      <w:pPr>
        <w:autoSpaceDE w:val="0"/>
        <w:autoSpaceDN w:val="0"/>
        <w:spacing w:after="0" w:line="240" w:lineRule="auto"/>
        <w:jc w:val="both"/>
        <w:rPr>
          <w:rFonts w:ascii="Verdana" w:eastAsia="Times New Roman" w:hAnsi="Verdana" w:cs="Arial"/>
          <w:b/>
          <w:bCs/>
          <w:color w:val="000000"/>
          <w:lang w:eastAsia="en-GB"/>
        </w:rPr>
      </w:pPr>
      <w:r w:rsidRPr="00BE394C">
        <w:rPr>
          <w:rFonts w:ascii="Verdana" w:eastAsia="Times New Roman" w:hAnsi="Verdana" w:cs="Arial"/>
          <w:b/>
          <w:bCs/>
          <w:color w:val="000000"/>
          <w:lang w:eastAsia="en-GB"/>
        </w:rPr>
        <w:t>Planning Policy</w:t>
      </w:r>
      <w:r>
        <w:rPr>
          <w:rFonts w:ascii="Verdana" w:eastAsia="Times New Roman" w:hAnsi="Verdana" w:cs="Arial"/>
          <w:b/>
          <w:bCs/>
          <w:color w:val="000000"/>
          <w:lang w:eastAsia="en-GB"/>
        </w:rPr>
        <w:t xml:space="preserve"> and Guidance</w:t>
      </w:r>
    </w:p>
    <w:p w14:paraId="4E736D19" w14:textId="77777777" w:rsidR="00BE394C" w:rsidRDefault="00BE394C" w:rsidP="00CD09B0">
      <w:pPr>
        <w:autoSpaceDE w:val="0"/>
        <w:autoSpaceDN w:val="0"/>
        <w:spacing w:after="0" w:line="240" w:lineRule="auto"/>
        <w:jc w:val="both"/>
        <w:rPr>
          <w:rFonts w:ascii="Verdana" w:eastAsia="Times New Roman" w:hAnsi="Verdana" w:cs="Arial"/>
          <w:color w:val="000000"/>
          <w:lang w:eastAsia="en-GB"/>
        </w:rPr>
      </w:pPr>
    </w:p>
    <w:p w14:paraId="248E20B3" w14:textId="4C98E7ED" w:rsidR="0088114A" w:rsidRDefault="0088114A" w:rsidP="00CD09B0">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 xml:space="preserve">With respect to relevant planning policy applicable to this development this has not materially changed since the resolution to approve the application.  The Truro and Kenwyn Neighbourhood Plan </w:t>
      </w:r>
      <w:r w:rsidR="00550C75">
        <w:rPr>
          <w:rFonts w:ascii="Verdana" w:eastAsia="Times New Roman" w:hAnsi="Verdana" w:cs="Arial"/>
          <w:color w:val="000000"/>
          <w:lang w:eastAsia="en-GB"/>
        </w:rPr>
        <w:t xml:space="preserve">Revision </w:t>
      </w:r>
      <w:r>
        <w:rPr>
          <w:rFonts w:ascii="Verdana" w:eastAsia="Times New Roman" w:hAnsi="Verdana" w:cs="Arial"/>
          <w:color w:val="000000"/>
          <w:lang w:eastAsia="en-GB"/>
        </w:rPr>
        <w:t xml:space="preserve">has not been submitted to CC for </w:t>
      </w:r>
      <w:r w:rsidR="00550C75" w:rsidRPr="00550C75">
        <w:rPr>
          <w:rFonts w:ascii="Verdana" w:eastAsia="Times New Roman" w:hAnsi="Verdana" w:cs="Arial"/>
          <w:color w:val="000000"/>
          <w:lang w:eastAsia="en-GB"/>
        </w:rPr>
        <w:t>the final consultation before examination</w:t>
      </w:r>
      <w:r w:rsidR="00550C75">
        <w:rPr>
          <w:rFonts w:ascii="Verdana" w:eastAsia="Times New Roman" w:hAnsi="Verdana" w:cs="Arial"/>
          <w:color w:val="000000"/>
          <w:lang w:eastAsia="en-GB"/>
        </w:rPr>
        <w:t xml:space="preserve">. Hence it has the same </w:t>
      </w:r>
      <w:r w:rsidR="00450F36">
        <w:rPr>
          <w:rFonts w:ascii="Verdana" w:eastAsia="Times New Roman" w:hAnsi="Verdana" w:cs="Arial"/>
          <w:color w:val="000000"/>
          <w:lang w:eastAsia="en-GB"/>
        </w:rPr>
        <w:t xml:space="preserve">limited </w:t>
      </w:r>
      <w:r w:rsidR="00550C75">
        <w:rPr>
          <w:rFonts w:ascii="Verdana" w:eastAsia="Times New Roman" w:hAnsi="Verdana" w:cs="Arial"/>
          <w:color w:val="000000"/>
          <w:lang w:eastAsia="en-GB"/>
        </w:rPr>
        <w:t>material planning weight as set out in the Committee Report and Update.</w:t>
      </w:r>
    </w:p>
    <w:p w14:paraId="5D11B774" w14:textId="0BB7D09C" w:rsidR="00550C75" w:rsidRDefault="00550C75" w:rsidP="00CD09B0">
      <w:pPr>
        <w:autoSpaceDE w:val="0"/>
        <w:autoSpaceDN w:val="0"/>
        <w:spacing w:after="0" w:line="240" w:lineRule="auto"/>
        <w:jc w:val="both"/>
        <w:rPr>
          <w:rFonts w:ascii="Verdana" w:eastAsia="Times New Roman" w:hAnsi="Verdana" w:cs="Arial"/>
          <w:color w:val="000000"/>
          <w:lang w:eastAsia="en-GB"/>
        </w:rPr>
      </w:pPr>
    </w:p>
    <w:p w14:paraId="71AEB9A8" w14:textId="78CC8E2E" w:rsidR="005B56CA" w:rsidRPr="005B56CA" w:rsidRDefault="005B56CA" w:rsidP="005B56CA">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 xml:space="preserve">The </w:t>
      </w:r>
      <w:r w:rsidRPr="005B56CA">
        <w:rPr>
          <w:rFonts w:ascii="Verdana" w:eastAsia="Times New Roman" w:hAnsi="Verdana" w:cs="Arial"/>
          <w:color w:val="000000"/>
          <w:lang w:eastAsia="en-GB"/>
        </w:rPr>
        <w:t>Cornwall Design Guide</w:t>
      </w:r>
      <w:r>
        <w:rPr>
          <w:rFonts w:ascii="Verdana" w:eastAsia="Times New Roman" w:hAnsi="Verdana" w:cs="Arial"/>
          <w:color w:val="000000"/>
          <w:lang w:eastAsia="en-GB"/>
        </w:rPr>
        <w:t xml:space="preserve"> </w:t>
      </w:r>
      <w:r w:rsidR="00F92E2E">
        <w:rPr>
          <w:rFonts w:ascii="Verdana" w:eastAsia="Times New Roman" w:hAnsi="Verdana" w:cs="Arial"/>
          <w:color w:val="000000"/>
          <w:lang w:eastAsia="en-GB"/>
        </w:rPr>
        <w:t>2021 h</w:t>
      </w:r>
      <w:r w:rsidRPr="005B56CA">
        <w:rPr>
          <w:rFonts w:ascii="Verdana" w:eastAsia="Times New Roman" w:hAnsi="Verdana" w:cs="Arial"/>
          <w:color w:val="000000"/>
          <w:lang w:eastAsia="en-GB"/>
        </w:rPr>
        <w:t>as now been approved by the Cabinet</w:t>
      </w:r>
      <w:r w:rsidR="00BE394C">
        <w:rPr>
          <w:rFonts w:ascii="Verdana" w:eastAsia="Times New Roman" w:hAnsi="Verdana" w:cs="Arial"/>
          <w:color w:val="000000"/>
          <w:lang w:eastAsia="en-GB"/>
        </w:rPr>
        <w:t>, post SPC</w:t>
      </w:r>
      <w:r w:rsidRPr="005B56CA">
        <w:rPr>
          <w:rFonts w:ascii="Verdana" w:eastAsia="Times New Roman" w:hAnsi="Verdana" w:cs="Arial"/>
          <w:color w:val="000000"/>
          <w:lang w:eastAsia="en-GB"/>
        </w:rPr>
        <w:t xml:space="preserve">. The separate streetscape design guide has been merged into the design guide to reduce the amount of guidance issued. </w:t>
      </w:r>
    </w:p>
    <w:p w14:paraId="5715483B" w14:textId="77777777" w:rsidR="005B56CA" w:rsidRPr="005B56CA" w:rsidRDefault="005B56CA" w:rsidP="005B56CA">
      <w:pPr>
        <w:autoSpaceDE w:val="0"/>
        <w:autoSpaceDN w:val="0"/>
        <w:spacing w:after="0" w:line="240" w:lineRule="auto"/>
        <w:jc w:val="both"/>
        <w:rPr>
          <w:rFonts w:ascii="Verdana" w:eastAsia="Times New Roman" w:hAnsi="Verdana" w:cs="Arial"/>
          <w:color w:val="000000"/>
          <w:lang w:eastAsia="en-GB"/>
        </w:rPr>
      </w:pPr>
    </w:p>
    <w:p w14:paraId="6680F658" w14:textId="77777777" w:rsidR="005B56CA" w:rsidRPr="005B56CA" w:rsidRDefault="005B56CA" w:rsidP="005B56CA">
      <w:pPr>
        <w:autoSpaceDE w:val="0"/>
        <w:autoSpaceDN w:val="0"/>
        <w:spacing w:after="0" w:line="240" w:lineRule="auto"/>
        <w:jc w:val="both"/>
        <w:rPr>
          <w:rFonts w:ascii="Verdana" w:eastAsia="Times New Roman" w:hAnsi="Verdana" w:cs="Arial"/>
          <w:color w:val="000000"/>
          <w:lang w:eastAsia="en-GB"/>
        </w:rPr>
      </w:pPr>
      <w:r w:rsidRPr="005B56CA">
        <w:rPr>
          <w:rFonts w:ascii="Verdana" w:eastAsia="Times New Roman" w:hAnsi="Verdana" w:cs="Arial"/>
          <w:color w:val="000000"/>
          <w:lang w:eastAsia="en-GB"/>
        </w:rPr>
        <w:t>The Design Guide supports:</w:t>
      </w:r>
    </w:p>
    <w:p w14:paraId="7C7771EB" w14:textId="77777777" w:rsidR="005B56CA" w:rsidRPr="005B56CA" w:rsidRDefault="005B56CA" w:rsidP="005B56CA">
      <w:pPr>
        <w:autoSpaceDE w:val="0"/>
        <w:autoSpaceDN w:val="0"/>
        <w:spacing w:after="0" w:line="240" w:lineRule="auto"/>
        <w:jc w:val="both"/>
        <w:rPr>
          <w:rFonts w:ascii="Verdana" w:eastAsia="Times New Roman" w:hAnsi="Verdana" w:cs="Arial"/>
          <w:color w:val="000000"/>
          <w:lang w:eastAsia="en-GB"/>
        </w:rPr>
      </w:pPr>
    </w:p>
    <w:p w14:paraId="0D5A506A" w14:textId="77777777" w:rsidR="005B56CA" w:rsidRPr="005B56CA" w:rsidRDefault="005B56CA" w:rsidP="005B56CA">
      <w:pPr>
        <w:autoSpaceDE w:val="0"/>
        <w:autoSpaceDN w:val="0"/>
        <w:spacing w:after="0" w:line="240" w:lineRule="auto"/>
        <w:jc w:val="both"/>
        <w:rPr>
          <w:rFonts w:ascii="Verdana" w:eastAsia="Times New Roman" w:hAnsi="Verdana" w:cs="Arial"/>
          <w:color w:val="000000"/>
          <w:lang w:eastAsia="en-GB"/>
        </w:rPr>
      </w:pPr>
      <w:r w:rsidRPr="005B56CA">
        <w:rPr>
          <w:rFonts w:ascii="Verdana" w:eastAsia="Times New Roman" w:hAnsi="Verdana" w:cs="Arial"/>
          <w:color w:val="000000"/>
          <w:lang w:eastAsia="en-GB"/>
        </w:rPr>
        <w:lastRenderedPageBreak/>
        <w:t>•</w:t>
      </w:r>
      <w:r w:rsidRPr="005B56CA">
        <w:rPr>
          <w:rFonts w:ascii="Verdana" w:eastAsia="Times New Roman" w:hAnsi="Verdana" w:cs="Arial"/>
          <w:color w:val="000000"/>
          <w:lang w:eastAsia="en-GB"/>
        </w:rPr>
        <w:tab/>
        <w:t>the Cornwall Local Plan and</w:t>
      </w:r>
    </w:p>
    <w:p w14:paraId="5CCBB8B7" w14:textId="77777777" w:rsidR="005B56CA" w:rsidRPr="005B56CA" w:rsidRDefault="005B56CA" w:rsidP="005B56CA">
      <w:pPr>
        <w:autoSpaceDE w:val="0"/>
        <w:autoSpaceDN w:val="0"/>
        <w:spacing w:after="0" w:line="240" w:lineRule="auto"/>
        <w:jc w:val="both"/>
        <w:rPr>
          <w:rFonts w:ascii="Verdana" w:eastAsia="Times New Roman" w:hAnsi="Verdana" w:cs="Arial"/>
          <w:color w:val="000000"/>
          <w:lang w:eastAsia="en-GB"/>
        </w:rPr>
      </w:pPr>
      <w:r w:rsidRPr="005B56CA">
        <w:rPr>
          <w:rFonts w:ascii="Verdana" w:eastAsia="Times New Roman" w:hAnsi="Verdana" w:cs="Arial"/>
          <w:color w:val="000000"/>
          <w:lang w:eastAsia="en-GB"/>
        </w:rPr>
        <w:t>•</w:t>
      </w:r>
      <w:r w:rsidRPr="005B56CA">
        <w:rPr>
          <w:rFonts w:ascii="Verdana" w:eastAsia="Times New Roman" w:hAnsi="Verdana" w:cs="Arial"/>
          <w:color w:val="000000"/>
          <w:lang w:eastAsia="en-GB"/>
        </w:rPr>
        <w:tab/>
        <w:t>the Climate Emergency Development Plan Document and</w:t>
      </w:r>
    </w:p>
    <w:p w14:paraId="0E7A25E4" w14:textId="77777777" w:rsidR="005B56CA" w:rsidRPr="005B56CA" w:rsidRDefault="005B56CA" w:rsidP="005B56CA">
      <w:pPr>
        <w:autoSpaceDE w:val="0"/>
        <w:autoSpaceDN w:val="0"/>
        <w:spacing w:after="0" w:line="240" w:lineRule="auto"/>
        <w:jc w:val="both"/>
        <w:rPr>
          <w:rFonts w:ascii="Verdana" w:eastAsia="Times New Roman" w:hAnsi="Verdana" w:cs="Arial"/>
          <w:color w:val="000000"/>
          <w:lang w:eastAsia="en-GB"/>
        </w:rPr>
      </w:pPr>
      <w:r w:rsidRPr="005B56CA">
        <w:rPr>
          <w:rFonts w:ascii="Verdana" w:eastAsia="Times New Roman" w:hAnsi="Verdana" w:cs="Arial"/>
          <w:color w:val="000000"/>
          <w:lang w:eastAsia="en-GB"/>
        </w:rPr>
        <w:t>•</w:t>
      </w:r>
      <w:r w:rsidRPr="005B56CA">
        <w:rPr>
          <w:rFonts w:ascii="Verdana" w:eastAsia="Times New Roman" w:hAnsi="Verdana" w:cs="Arial"/>
          <w:color w:val="000000"/>
          <w:lang w:eastAsia="en-GB"/>
        </w:rPr>
        <w:tab/>
        <w:t>the policy in Connecting Cornwall: 2030 Local Transport Plan.</w:t>
      </w:r>
    </w:p>
    <w:p w14:paraId="7F0C5465" w14:textId="77777777" w:rsidR="005B56CA" w:rsidRPr="005B56CA" w:rsidRDefault="005B56CA" w:rsidP="005B56CA">
      <w:pPr>
        <w:autoSpaceDE w:val="0"/>
        <w:autoSpaceDN w:val="0"/>
        <w:spacing w:after="0" w:line="240" w:lineRule="auto"/>
        <w:jc w:val="both"/>
        <w:rPr>
          <w:rFonts w:ascii="Verdana" w:eastAsia="Times New Roman" w:hAnsi="Verdana" w:cs="Arial"/>
          <w:color w:val="000000"/>
          <w:lang w:eastAsia="en-GB"/>
        </w:rPr>
      </w:pPr>
    </w:p>
    <w:p w14:paraId="25CAB7A2" w14:textId="082A401F" w:rsidR="00550C75" w:rsidRDefault="005B56CA" w:rsidP="005B56CA">
      <w:pPr>
        <w:autoSpaceDE w:val="0"/>
        <w:autoSpaceDN w:val="0"/>
        <w:spacing w:after="0" w:line="240" w:lineRule="auto"/>
        <w:jc w:val="both"/>
        <w:rPr>
          <w:rFonts w:ascii="Verdana" w:eastAsia="Times New Roman" w:hAnsi="Verdana" w:cs="Arial"/>
          <w:color w:val="000000"/>
          <w:lang w:eastAsia="en-GB"/>
        </w:rPr>
      </w:pPr>
      <w:r w:rsidRPr="005B56CA">
        <w:rPr>
          <w:rFonts w:ascii="Verdana" w:eastAsia="Times New Roman" w:hAnsi="Verdana" w:cs="Arial"/>
          <w:color w:val="000000"/>
          <w:lang w:eastAsia="en-GB"/>
        </w:rPr>
        <w:t xml:space="preserve">Whilst the design guide was adopted for use in December 2021 it is very much intended as a tool for negotiation and is a ‘living document’ and will be updated from time to time as required. </w:t>
      </w:r>
      <w:r w:rsidR="00B606A7">
        <w:rPr>
          <w:rFonts w:ascii="Verdana" w:eastAsia="Times New Roman" w:hAnsi="Verdana" w:cs="Arial"/>
          <w:color w:val="000000"/>
          <w:lang w:eastAsia="en-GB"/>
        </w:rPr>
        <w:t xml:space="preserve">The Design Guide 2021 updates the previous guidance in the 2013 </w:t>
      </w:r>
      <w:r w:rsidR="004B50EF">
        <w:rPr>
          <w:rFonts w:ascii="Verdana" w:eastAsia="Times New Roman" w:hAnsi="Verdana" w:cs="Arial"/>
          <w:color w:val="000000"/>
          <w:lang w:eastAsia="en-GB"/>
        </w:rPr>
        <w:t xml:space="preserve">version and does not materially alter the </w:t>
      </w:r>
      <w:r w:rsidR="00EC43B4">
        <w:rPr>
          <w:rFonts w:ascii="Verdana" w:eastAsia="Times New Roman" w:hAnsi="Verdana" w:cs="Arial"/>
          <w:color w:val="000000"/>
          <w:lang w:eastAsia="en-GB"/>
        </w:rPr>
        <w:t>assessment undertaken in relation to Langarth Garden Village as set out in the Committee Report and Update.  The application is accompanied by a Design Code which sets out best practice and high design aspirations for the development.  Further, the conditions require the submission of further Neighbourhood Design Codes to be agreed by the LPA.  The Neighbourhood Design Codes will be required to reflect upon the guidance within the Langarth Garden Village Design Code and any local or National Design Guidance or Codes in place at the time.</w:t>
      </w:r>
    </w:p>
    <w:p w14:paraId="57EA87A7" w14:textId="5B62F9D1" w:rsidR="00EC43B4" w:rsidRDefault="00EC43B4" w:rsidP="005B56CA">
      <w:pPr>
        <w:autoSpaceDE w:val="0"/>
        <w:autoSpaceDN w:val="0"/>
        <w:spacing w:after="0" w:line="240" w:lineRule="auto"/>
        <w:jc w:val="both"/>
        <w:rPr>
          <w:rFonts w:ascii="Verdana" w:eastAsia="Times New Roman" w:hAnsi="Verdana" w:cs="Arial"/>
          <w:color w:val="000000"/>
          <w:lang w:eastAsia="en-GB"/>
        </w:rPr>
      </w:pPr>
    </w:p>
    <w:p w14:paraId="5E9EDABD" w14:textId="08B9A9FA" w:rsidR="00097CF2" w:rsidRPr="00097CF2" w:rsidRDefault="00EC43B4" w:rsidP="00097CF2">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 xml:space="preserve">With respect to the </w:t>
      </w:r>
      <w:r w:rsidR="00893486">
        <w:rPr>
          <w:rFonts w:ascii="Verdana" w:eastAsia="Times New Roman" w:hAnsi="Verdana" w:cs="Arial"/>
          <w:color w:val="000000"/>
          <w:lang w:eastAsia="en-GB"/>
        </w:rPr>
        <w:t xml:space="preserve">emerging </w:t>
      </w:r>
      <w:r>
        <w:rPr>
          <w:rFonts w:ascii="Verdana" w:eastAsia="Times New Roman" w:hAnsi="Verdana" w:cs="Arial"/>
          <w:color w:val="000000"/>
          <w:lang w:eastAsia="en-GB"/>
        </w:rPr>
        <w:t>Climate Emergency DPD</w:t>
      </w:r>
      <w:r w:rsidR="00F43B23">
        <w:rPr>
          <w:rFonts w:ascii="Verdana" w:eastAsia="Times New Roman" w:hAnsi="Verdana" w:cs="Arial"/>
          <w:color w:val="000000"/>
          <w:lang w:eastAsia="en-GB"/>
        </w:rPr>
        <w:t>, this remains in independent examination.</w:t>
      </w:r>
      <w:r>
        <w:rPr>
          <w:rFonts w:ascii="Verdana" w:eastAsia="Times New Roman" w:hAnsi="Verdana" w:cs="Arial"/>
          <w:color w:val="000000"/>
          <w:lang w:eastAsia="en-GB"/>
        </w:rPr>
        <w:t xml:space="preserve"> </w:t>
      </w:r>
      <w:r w:rsidR="00F43B23">
        <w:rPr>
          <w:rFonts w:ascii="Verdana" w:eastAsia="Times New Roman" w:hAnsi="Verdana" w:cs="Arial"/>
          <w:color w:val="000000"/>
          <w:lang w:eastAsia="en-GB"/>
        </w:rPr>
        <w:t>A</w:t>
      </w:r>
      <w:r>
        <w:rPr>
          <w:rFonts w:ascii="Verdana" w:eastAsia="Times New Roman" w:hAnsi="Verdana" w:cs="Arial"/>
          <w:color w:val="000000"/>
          <w:lang w:eastAsia="en-GB"/>
        </w:rPr>
        <w:t xml:space="preserve"> small amendment has been made to the </w:t>
      </w:r>
      <w:r w:rsidRPr="00EC43B4">
        <w:rPr>
          <w:rFonts w:ascii="Verdana" w:hAnsi="Verdana"/>
        </w:rPr>
        <w:t>weighting guidance</w:t>
      </w:r>
      <w:r>
        <w:rPr>
          <w:rFonts w:ascii="Verdana" w:hAnsi="Verdana"/>
        </w:rPr>
        <w:t xml:space="preserve"> to be applied</w:t>
      </w:r>
      <w:r w:rsidR="00893486">
        <w:rPr>
          <w:rFonts w:ascii="Verdana" w:hAnsi="Verdana"/>
        </w:rPr>
        <w:t xml:space="preserve"> by CC</w:t>
      </w:r>
      <w:r>
        <w:rPr>
          <w:rFonts w:ascii="Verdana" w:hAnsi="Verdana"/>
        </w:rPr>
        <w:t xml:space="preserve"> since the Committee resolution.  The amendment clarifies </w:t>
      </w:r>
      <w:r w:rsidRPr="00EC43B4">
        <w:rPr>
          <w:rFonts w:ascii="Verdana" w:hAnsi="Verdana"/>
        </w:rPr>
        <w:t>that very limited weight should be applied to Policy SEC1 part 2a on new major non-residential development (i.e. seeking BREEAM Excellent) as well as applying very limited weight to part 2b on new residential development (i.e. the energy targets).</w:t>
      </w:r>
      <w:r>
        <w:rPr>
          <w:rFonts w:ascii="Verdana" w:hAnsi="Verdana"/>
        </w:rPr>
        <w:t xml:space="preserve">  </w:t>
      </w:r>
      <w:r w:rsidR="00F43B23">
        <w:rPr>
          <w:rFonts w:ascii="Verdana" w:hAnsi="Verdana"/>
        </w:rPr>
        <w:t>T</w:t>
      </w:r>
      <w:r>
        <w:rPr>
          <w:rFonts w:ascii="Verdana" w:hAnsi="Verdana"/>
        </w:rPr>
        <w:t>h</w:t>
      </w:r>
      <w:r w:rsidR="00F43B23">
        <w:rPr>
          <w:rFonts w:ascii="Verdana" w:hAnsi="Verdana"/>
        </w:rPr>
        <w:t>is</w:t>
      </w:r>
      <w:r>
        <w:rPr>
          <w:rFonts w:ascii="Verdana" w:hAnsi="Verdana"/>
        </w:rPr>
        <w:t xml:space="preserve"> weighting guidance amendment has no material impact on the assessment of this</w:t>
      </w:r>
      <w:r w:rsidR="00F263AB">
        <w:rPr>
          <w:rFonts w:ascii="Verdana" w:hAnsi="Verdana"/>
        </w:rPr>
        <w:t xml:space="preserve"> </w:t>
      </w:r>
      <w:r w:rsidR="00F43B23">
        <w:rPr>
          <w:rFonts w:ascii="Verdana" w:hAnsi="Verdana"/>
        </w:rPr>
        <w:t>application.</w:t>
      </w:r>
      <w:r w:rsidR="00893486">
        <w:rPr>
          <w:rFonts w:ascii="Verdana" w:hAnsi="Verdana"/>
        </w:rPr>
        <w:t xml:space="preserve"> </w:t>
      </w:r>
      <w:r w:rsidR="008D09A5">
        <w:rPr>
          <w:rFonts w:ascii="Verdana" w:hAnsi="Verdana"/>
        </w:rPr>
        <w:t xml:space="preserve"> </w:t>
      </w:r>
      <w:r w:rsidR="00893486" w:rsidRPr="00893486">
        <w:rPr>
          <w:rFonts w:ascii="Verdana" w:hAnsi="Verdana"/>
        </w:rPr>
        <w:t>Given the strategic importance of the site</w:t>
      </w:r>
      <w:r w:rsidR="00DE1790">
        <w:rPr>
          <w:rFonts w:ascii="Verdana" w:hAnsi="Verdana"/>
        </w:rPr>
        <w:t>,</w:t>
      </w:r>
      <w:r w:rsidR="00893486" w:rsidRPr="00893486">
        <w:rPr>
          <w:rFonts w:ascii="Verdana" w:hAnsi="Verdana"/>
        </w:rPr>
        <w:t xml:space="preserve"> the applicant has incorporated a range of measures to ensure that </w:t>
      </w:r>
      <w:r w:rsidR="008D09A5">
        <w:rPr>
          <w:rFonts w:ascii="Verdana" w:hAnsi="Verdana"/>
        </w:rPr>
        <w:t xml:space="preserve">a </w:t>
      </w:r>
      <w:r w:rsidR="00893486" w:rsidRPr="00893486">
        <w:rPr>
          <w:rFonts w:ascii="Verdana" w:hAnsi="Verdana"/>
        </w:rPr>
        <w:t xml:space="preserve">net carbon zero </w:t>
      </w:r>
      <w:r w:rsidR="008D09A5">
        <w:rPr>
          <w:rFonts w:ascii="Verdana" w:hAnsi="Verdana"/>
        </w:rPr>
        <w:t>buildings</w:t>
      </w:r>
      <w:r w:rsidR="00893486" w:rsidRPr="00893486">
        <w:rPr>
          <w:rFonts w:ascii="Verdana" w:hAnsi="Verdana"/>
        </w:rPr>
        <w:t xml:space="preserve"> would be </w:t>
      </w:r>
      <w:r w:rsidR="00450F36" w:rsidRPr="00893486">
        <w:rPr>
          <w:rFonts w:ascii="Verdana" w:hAnsi="Verdana"/>
        </w:rPr>
        <w:t>delivered,</w:t>
      </w:r>
      <w:r w:rsidR="00893486">
        <w:rPr>
          <w:rFonts w:ascii="Verdana" w:hAnsi="Verdana"/>
        </w:rPr>
        <w:t xml:space="preserve"> and these are controlled through recommended </w:t>
      </w:r>
      <w:r w:rsidR="008E67BF">
        <w:rPr>
          <w:rFonts w:ascii="Verdana" w:hAnsi="Verdana"/>
        </w:rPr>
        <w:t>conditions, S</w:t>
      </w:r>
      <w:r w:rsidR="00893486">
        <w:rPr>
          <w:rFonts w:ascii="Verdana" w:hAnsi="Verdana"/>
        </w:rPr>
        <w:t xml:space="preserve">106 Obligations and requirements </w:t>
      </w:r>
      <w:r w:rsidR="00DE1790">
        <w:rPr>
          <w:rFonts w:ascii="Verdana" w:hAnsi="Verdana"/>
        </w:rPr>
        <w:t xml:space="preserve">in </w:t>
      </w:r>
      <w:r w:rsidR="00893486">
        <w:rPr>
          <w:rFonts w:ascii="Verdana" w:hAnsi="Verdana"/>
        </w:rPr>
        <w:t xml:space="preserve">the Design Code.  It remains </w:t>
      </w:r>
      <w:r w:rsidR="00DE1790">
        <w:rPr>
          <w:rFonts w:ascii="Verdana" w:hAnsi="Verdana"/>
        </w:rPr>
        <w:t xml:space="preserve">the case </w:t>
      </w:r>
      <w:r w:rsidR="00893486">
        <w:rPr>
          <w:rFonts w:ascii="Verdana" w:hAnsi="Verdana"/>
        </w:rPr>
        <w:t>that positive weight can be given to the proposal due to its</w:t>
      </w:r>
      <w:r w:rsidR="00893486" w:rsidRPr="00893486">
        <w:rPr>
          <w:rFonts w:ascii="Verdana" w:hAnsi="Verdana"/>
        </w:rPr>
        <w:t xml:space="preserve"> </w:t>
      </w:r>
      <w:r w:rsidR="00893486">
        <w:rPr>
          <w:rFonts w:ascii="Verdana" w:hAnsi="Verdana"/>
        </w:rPr>
        <w:t xml:space="preserve">conformity with the </w:t>
      </w:r>
      <w:r w:rsidR="00450F36">
        <w:rPr>
          <w:rFonts w:ascii="Verdana" w:hAnsi="Verdana"/>
        </w:rPr>
        <w:t xml:space="preserve">policies within the </w:t>
      </w:r>
      <w:r w:rsidR="00893486">
        <w:rPr>
          <w:rFonts w:ascii="Verdana" w:hAnsi="Verdana"/>
        </w:rPr>
        <w:t>emerging Climate Emergency DPD.</w:t>
      </w:r>
    </w:p>
    <w:p w14:paraId="0F3A7F79" w14:textId="77777777" w:rsidR="00097CF2" w:rsidRPr="00097CF2" w:rsidRDefault="00097CF2" w:rsidP="00097CF2">
      <w:pPr>
        <w:autoSpaceDE w:val="0"/>
        <w:autoSpaceDN w:val="0"/>
        <w:spacing w:after="0" w:line="240" w:lineRule="auto"/>
        <w:jc w:val="both"/>
        <w:rPr>
          <w:rFonts w:ascii="Verdana" w:eastAsia="Times New Roman" w:hAnsi="Verdana" w:cs="Arial"/>
          <w:color w:val="000000"/>
          <w:lang w:eastAsia="en-GB"/>
        </w:rPr>
      </w:pPr>
    </w:p>
    <w:tbl>
      <w:tblPr>
        <w:tblStyle w:val="TableGrid"/>
        <w:tblW w:w="0" w:type="auto"/>
        <w:tblInd w:w="0" w:type="dxa"/>
        <w:tblLook w:val="01E0" w:firstRow="1" w:lastRow="1" w:firstColumn="1" w:lastColumn="1" w:noHBand="0" w:noVBand="0"/>
      </w:tblPr>
      <w:tblGrid>
        <w:gridCol w:w="9628"/>
      </w:tblGrid>
      <w:tr w:rsidR="00097CF2" w:rsidRPr="00097CF2" w14:paraId="6CF33F43" w14:textId="77777777" w:rsidTr="00A96D75">
        <w:tc>
          <w:tcPr>
            <w:tcW w:w="9854" w:type="dxa"/>
            <w:shd w:val="pct25" w:color="auto" w:fill="auto"/>
            <w:vAlign w:val="center"/>
          </w:tcPr>
          <w:p w14:paraId="5238ED45" w14:textId="77777777" w:rsidR="00097CF2" w:rsidRPr="00097CF2" w:rsidRDefault="00097CF2" w:rsidP="00097CF2">
            <w:pPr>
              <w:autoSpaceDE w:val="0"/>
              <w:autoSpaceDN w:val="0"/>
              <w:spacing w:before="60" w:after="60"/>
              <w:rPr>
                <w:rFonts w:ascii="Verdana" w:hAnsi="Verdana"/>
                <w:b/>
                <w:bCs/>
                <w:color w:val="000000"/>
              </w:rPr>
            </w:pPr>
            <w:r w:rsidRPr="00097CF2">
              <w:rPr>
                <w:rFonts w:ascii="Verdana" w:hAnsi="Verdana"/>
                <w:b/>
                <w:bCs/>
                <w:color w:val="000000"/>
              </w:rPr>
              <w:t>Recommendation:</w:t>
            </w:r>
          </w:p>
        </w:tc>
      </w:tr>
    </w:tbl>
    <w:p w14:paraId="41FC7ACE" w14:textId="77777777" w:rsidR="000B413A" w:rsidRDefault="000B413A" w:rsidP="00097CF2">
      <w:pPr>
        <w:autoSpaceDE w:val="0"/>
        <w:autoSpaceDN w:val="0"/>
        <w:spacing w:after="0" w:line="240" w:lineRule="auto"/>
        <w:ind w:firstLine="49"/>
        <w:rPr>
          <w:rFonts w:ascii="Verdana" w:eastAsia="Times New Roman" w:hAnsi="Verdana" w:cs="Arial"/>
          <w:color w:val="000000"/>
          <w:lang w:eastAsia="en-GB"/>
        </w:rPr>
      </w:pPr>
    </w:p>
    <w:p w14:paraId="39C59D1A" w14:textId="6BEC0812" w:rsidR="001761A4" w:rsidRDefault="008D09A5" w:rsidP="008D09A5">
      <w:pPr>
        <w:autoSpaceDE w:val="0"/>
        <w:autoSpaceDN w:val="0"/>
        <w:spacing w:after="0" w:line="240" w:lineRule="auto"/>
        <w:jc w:val="both"/>
        <w:rPr>
          <w:rFonts w:ascii="Verdana" w:eastAsia="Times New Roman" w:hAnsi="Verdana" w:cs="Arial"/>
          <w:color w:val="000000"/>
          <w:lang w:eastAsia="en-GB"/>
        </w:rPr>
      </w:pPr>
      <w:r>
        <w:rPr>
          <w:rFonts w:ascii="Verdana" w:eastAsia="Times New Roman" w:hAnsi="Verdana" w:cs="Arial"/>
          <w:color w:val="000000"/>
          <w:lang w:eastAsia="en-GB"/>
        </w:rPr>
        <w:t>T</w:t>
      </w:r>
      <w:r w:rsidRPr="008D09A5">
        <w:rPr>
          <w:rFonts w:ascii="Verdana" w:eastAsia="Times New Roman" w:hAnsi="Verdana" w:cs="Arial"/>
          <w:color w:val="000000"/>
          <w:lang w:eastAsia="en-GB"/>
        </w:rPr>
        <w:t xml:space="preserve">here are no material changes that are so significant that they require the application to be reconsidered by </w:t>
      </w:r>
      <w:r w:rsidR="00DE1790">
        <w:rPr>
          <w:rFonts w:ascii="Verdana" w:eastAsia="Times New Roman" w:hAnsi="Verdana" w:cs="Arial"/>
          <w:color w:val="000000"/>
          <w:lang w:eastAsia="en-GB"/>
        </w:rPr>
        <w:t>M</w:t>
      </w:r>
      <w:r w:rsidRPr="008D09A5">
        <w:rPr>
          <w:rFonts w:ascii="Verdana" w:eastAsia="Times New Roman" w:hAnsi="Verdana" w:cs="Arial"/>
          <w:color w:val="000000"/>
          <w:lang w:eastAsia="en-GB"/>
        </w:rPr>
        <w:t xml:space="preserve">embers. As set out above the conditions are </w:t>
      </w:r>
      <w:r>
        <w:rPr>
          <w:rFonts w:ascii="Verdana" w:eastAsia="Times New Roman" w:hAnsi="Verdana" w:cs="Arial"/>
          <w:color w:val="000000"/>
          <w:lang w:eastAsia="en-GB"/>
        </w:rPr>
        <w:t xml:space="preserve">materially </w:t>
      </w:r>
      <w:r w:rsidRPr="008D09A5">
        <w:rPr>
          <w:rFonts w:ascii="Verdana" w:eastAsia="Times New Roman" w:hAnsi="Verdana" w:cs="Arial"/>
          <w:color w:val="000000"/>
          <w:lang w:eastAsia="en-GB"/>
        </w:rPr>
        <w:t xml:space="preserve">unchanged from those reported to and agreed by </w:t>
      </w:r>
      <w:r w:rsidR="00DE1790">
        <w:rPr>
          <w:rFonts w:ascii="Verdana" w:eastAsia="Times New Roman" w:hAnsi="Verdana" w:cs="Arial"/>
          <w:color w:val="000000"/>
          <w:lang w:eastAsia="en-GB"/>
        </w:rPr>
        <w:t xml:space="preserve">SPC </w:t>
      </w:r>
      <w:r w:rsidRPr="008D09A5">
        <w:rPr>
          <w:rFonts w:ascii="Verdana" w:eastAsia="Times New Roman" w:hAnsi="Verdana" w:cs="Arial"/>
          <w:color w:val="000000"/>
          <w:lang w:eastAsia="en-GB"/>
        </w:rPr>
        <w:t xml:space="preserve">other than </w:t>
      </w:r>
      <w:r>
        <w:rPr>
          <w:rFonts w:ascii="Verdana" w:eastAsia="Times New Roman" w:hAnsi="Verdana" w:cs="Arial"/>
          <w:color w:val="000000"/>
          <w:lang w:eastAsia="en-GB"/>
        </w:rPr>
        <w:t xml:space="preserve">minor amendments for </w:t>
      </w:r>
      <w:r w:rsidR="00DE1790">
        <w:rPr>
          <w:rFonts w:ascii="Verdana" w:eastAsia="Times New Roman" w:hAnsi="Verdana" w:cs="Arial"/>
          <w:color w:val="000000"/>
          <w:lang w:eastAsia="en-GB"/>
        </w:rPr>
        <w:t xml:space="preserve">internal </w:t>
      </w:r>
      <w:r>
        <w:rPr>
          <w:rFonts w:ascii="Verdana" w:eastAsia="Times New Roman" w:hAnsi="Verdana" w:cs="Arial"/>
          <w:color w:val="000000"/>
          <w:lang w:eastAsia="en-GB"/>
        </w:rPr>
        <w:t>consistency and clarification. With respect to the</w:t>
      </w:r>
      <w:r w:rsidR="00D15007">
        <w:rPr>
          <w:rFonts w:ascii="Verdana" w:eastAsia="Times New Roman" w:hAnsi="Verdana" w:cs="Arial"/>
          <w:color w:val="000000"/>
          <w:lang w:eastAsia="en-GB"/>
        </w:rPr>
        <w:t xml:space="preserve"> draft</w:t>
      </w:r>
      <w:r>
        <w:rPr>
          <w:rFonts w:ascii="Verdana" w:eastAsia="Times New Roman" w:hAnsi="Verdana" w:cs="Arial"/>
          <w:color w:val="000000"/>
          <w:lang w:eastAsia="en-GB"/>
        </w:rPr>
        <w:t xml:space="preserve"> </w:t>
      </w:r>
      <w:r w:rsidRPr="000C7DB5">
        <w:rPr>
          <w:rFonts w:ascii="Verdana" w:eastAsia="Calibri" w:hAnsi="Verdana" w:cs="Arial"/>
          <w:lang w:eastAsia="en-GB"/>
        </w:rPr>
        <w:t>Section 106 Obligation accompanying this planning permission</w:t>
      </w:r>
      <w:r w:rsidR="00E4344C">
        <w:rPr>
          <w:rFonts w:ascii="Verdana" w:eastAsia="Calibri" w:hAnsi="Verdana" w:cs="Arial"/>
          <w:lang w:eastAsia="en-GB"/>
        </w:rPr>
        <w:t>,</w:t>
      </w:r>
      <w:r w:rsidRPr="000C7DB5">
        <w:rPr>
          <w:rFonts w:ascii="Verdana" w:eastAsia="Calibri" w:hAnsi="Verdana" w:cs="Arial"/>
          <w:lang w:eastAsia="en-GB"/>
        </w:rPr>
        <w:t xml:space="preserve"> </w:t>
      </w:r>
      <w:r>
        <w:rPr>
          <w:rFonts w:ascii="Verdana" w:eastAsia="Calibri" w:hAnsi="Verdana" w:cs="Arial"/>
          <w:lang w:eastAsia="en-GB"/>
        </w:rPr>
        <w:t xml:space="preserve">this </w:t>
      </w:r>
      <w:r w:rsidRPr="000C7DB5">
        <w:rPr>
          <w:rFonts w:ascii="Verdana" w:eastAsia="Calibri" w:hAnsi="Verdana" w:cs="Arial"/>
          <w:lang w:eastAsia="en-GB"/>
        </w:rPr>
        <w:t>has been drafted and negotiated to reflect the terms approved by Committee, materially in accordance with the draft heads of terms published alongside the Update Report to Committee</w:t>
      </w:r>
      <w:r w:rsidR="00DE1790">
        <w:rPr>
          <w:rFonts w:ascii="Verdana" w:eastAsia="Calibri" w:hAnsi="Verdana" w:cs="Arial"/>
          <w:lang w:eastAsia="en-GB"/>
        </w:rPr>
        <w:t>, plus</w:t>
      </w:r>
      <w:r w:rsidR="00450F36">
        <w:rPr>
          <w:rFonts w:ascii="Verdana" w:eastAsia="Calibri" w:hAnsi="Verdana" w:cs="Arial"/>
          <w:lang w:eastAsia="en-GB"/>
        </w:rPr>
        <w:t xml:space="preserve"> an additional contribution to the Police</w:t>
      </w:r>
      <w:r>
        <w:rPr>
          <w:rFonts w:ascii="Verdana" w:eastAsia="Times New Roman" w:hAnsi="Verdana" w:cs="Arial"/>
          <w:color w:val="000000"/>
          <w:lang w:eastAsia="en-GB"/>
        </w:rPr>
        <w:t xml:space="preserve">.  </w:t>
      </w:r>
      <w:r w:rsidRPr="008D09A5">
        <w:rPr>
          <w:rFonts w:ascii="Verdana" w:eastAsia="Times New Roman" w:hAnsi="Verdana" w:cs="Arial"/>
          <w:color w:val="000000"/>
          <w:lang w:eastAsia="en-GB"/>
        </w:rPr>
        <w:t>The</w:t>
      </w:r>
      <w:r>
        <w:rPr>
          <w:rFonts w:ascii="Verdana" w:eastAsia="Times New Roman" w:hAnsi="Verdana" w:cs="Arial"/>
          <w:color w:val="000000"/>
          <w:lang w:eastAsia="en-GB"/>
        </w:rPr>
        <w:t>se elements have been complet</w:t>
      </w:r>
      <w:r w:rsidRPr="008D09A5">
        <w:rPr>
          <w:rFonts w:ascii="Verdana" w:eastAsia="Times New Roman" w:hAnsi="Verdana" w:cs="Arial"/>
          <w:color w:val="000000"/>
          <w:lang w:eastAsia="en-GB"/>
        </w:rPr>
        <w:t>e</w:t>
      </w:r>
      <w:r>
        <w:rPr>
          <w:rFonts w:ascii="Verdana" w:eastAsia="Times New Roman" w:hAnsi="Verdana" w:cs="Arial"/>
          <w:color w:val="000000"/>
          <w:lang w:eastAsia="en-GB"/>
        </w:rPr>
        <w:t xml:space="preserve">d in accordance with </w:t>
      </w:r>
      <w:r w:rsidRPr="008D09A5">
        <w:rPr>
          <w:rFonts w:ascii="Verdana" w:eastAsia="Times New Roman" w:hAnsi="Verdana" w:cs="Arial"/>
          <w:color w:val="000000"/>
          <w:lang w:eastAsia="en-GB"/>
        </w:rPr>
        <w:t xml:space="preserve">the delegated authority </w:t>
      </w:r>
      <w:r>
        <w:rPr>
          <w:rFonts w:ascii="Verdana" w:eastAsia="Times New Roman" w:hAnsi="Verdana" w:cs="Arial"/>
          <w:color w:val="000000"/>
          <w:lang w:eastAsia="en-GB"/>
        </w:rPr>
        <w:t xml:space="preserve">provided by </w:t>
      </w:r>
      <w:r w:rsidR="00DE1790">
        <w:rPr>
          <w:rFonts w:ascii="Verdana" w:eastAsia="Times New Roman" w:hAnsi="Verdana" w:cs="Arial"/>
          <w:color w:val="000000"/>
          <w:lang w:eastAsia="en-GB"/>
        </w:rPr>
        <w:t xml:space="preserve">SPC </w:t>
      </w:r>
      <w:r>
        <w:rPr>
          <w:rFonts w:ascii="Verdana" w:eastAsia="Times New Roman" w:hAnsi="Verdana" w:cs="Arial"/>
          <w:color w:val="000000"/>
          <w:lang w:eastAsia="en-GB"/>
        </w:rPr>
        <w:t xml:space="preserve">and </w:t>
      </w:r>
      <w:r w:rsidRPr="008D09A5">
        <w:rPr>
          <w:rFonts w:ascii="Verdana" w:eastAsia="Times New Roman" w:hAnsi="Verdana" w:cs="Arial"/>
          <w:color w:val="000000"/>
          <w:lang w:eastAsia="en-GB"/>
        </w:rPr>
        <w:t xml:space="preserve">following acceptance of this report and counter signature by the Head of </w:t>
      </w:r>
      <w:r>
        <w:rPr>
          <w:rFonts w:ascii="Verdana" w:eastAsia="Times New Roman" w:hAnsi="Verdana" w:cs="Arial"/>
          <w:color w:val="000000"/>
          <w:lang w:eastAsia="en-GB"/>
        </w:rPr>
        <w:t>Development Management</w:t>
      </w:r>
      <w:r w:rsidRPr="008D09A5">
        <w:rPr>
          <w:rFonts w:ascii="Verdana" w:eastAsia="Times New Roman" w:hAnsi="Verdana" w:cs="Arial"/>
          <w:color w:val="000000"/>
          <w:lang w:eastAsia="en-GB"/>
        </w:rPr>
        <w:t xml:space="preserve"> the planning permission </w:t>
      </w:r>
      <w:r>
        <w:rPr>
          <w:rFonts w:ascii="Verdana" w:eastAsia="Times New Roman" w:hAnsi="Verdana" w:cs="Arial"/>
          <w:color w:val="000000"/>
          <w:lang w:eastAsia="en-GB"/>
        </w:rPr>
        <w:t xml:space="preserve">can be </w:t>
      </w:r>
      <w:r w:rsidRPr="008D09A5">
        <w:rPr>
          <w:rFonts w:ascii="Verdana" w:eastAsia="Times New Roman" w:hAnsi="Verdana" w:cs="Arial"/>
          <w:color w:val="000000"/>
          <w:lang w:eastAsia="en-GB"/>
        </w:rPr>
        <w:t>issued.</w:t>
      </w:r>
    </w:p>
    <w:p w14:paraId="5108D1A2" w14:textId="77777777" w:rsidR="008D09A5" w:rsidRPr="00097CF2" w:rsidRDefault="008D09A5" w:rsidP="008D09A5">
      <w:pPr>
        <w:autoSpaceDE w:val="0"/>
        <w:autoSpaceDN w:val="0"/>
        <w:spacing w:after="0" w:line="240" w:lineRule="auto"/>
        <w:jc w:val="both"/>
        <w:rPr>
          <w:rFonts w:ascii="Verdana" w:eastAsia="Times New Roman" w:hAnsi="Verdana" w:cs="Arial"/>
          <w:color w:val="000000"/>
          <w:lang w:eastAsia="en-GB"/>
        </w:rPr>
      </w:pPr>
    </w:p>
    <w:p w14:paraId="0DC60105" w14:textId="75FB7029" w:rsidR="00097CF2" w:rsidRPr="00097CF2" w:rsidRDefault="00097CF2" w:rsidP="00097CF2">
      <w:pPr>
        <w:autoSpaceDE w:val="0"/>
        <w:autoSpaceDN w:val="0"/>
        <w:spacing w:after="0" w:line="240" w:lineRule="auto"/>
        <w:rPr>
          <w:rFonts w:ascii="Arial" w:eastAsia="Times New Roman" w:hAnsi="Arial" w:cs="Arial"/>
          <w:lang w:eastAsia="en-GB"/>
        </w:rPr>
      </w:pPr>
    </w:p>
    <w:p w14:paraId="0021D551" w14:textId="77777777" w:rsidR="00097CF2" w:rsidRPr="00097CF2" w:rsidRDefault="00097CF2" w:rsidP="00097CF2">
      <w:pPr>
        <w:autoSpaceDE w:val="0"/>
        <w:autoSpaceDN w:val="0"/>
        <w:spacing w:after="0" w:line="240" w:lineRule="auto"/>
        <w:rPr>
          <w:rFonts w:ascii="Arial" w:eastAsia="Times New Roman" w:hAnsi="Arial" w:cs="Arial"/>
          <w:lang w:eastAsia="en-GB"/>
        </w:rPr>
      </w:pPr>
    </w:p>
    <w:p w14:paraId="2D013641" w14:textId="77777777" w:rsidR="00391760" w:rsidRDefault="00391760"/>
    <w:sectPr w:rsidR="00391760" w:rsidSect="008639AD">
      <w:headerReference w:type="default" r:id="rId18"/>
      <w:footerReference w:type="default" r:id="rId19"/>
      <w:footerReference w:type="first" r:id="rId20"/>
      <w:type w:val="continuous"/>
      <w:pgSz w:w="11906" w:h="16838" w:code="9"/>
      <w:pgMar w:top="360" w:right="1134" w:bottom="680" w:left="1134" w:header="284" w:footer="28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EA6F" w14:textId="77777777" w:rsidR="001E7095" w:rsidRDefault="001E7095" w:rsidP="00097CF2">
      <w:pPr>
        <w:spacing w:after="0" w:line="240" w:lineRule="auto"/>
      </w:pPr>
      <w:r>
        <w:separator/>
      </w:r>
    </w:p>
  </w:endnote>
  <w:endnote w:type="continuationSeparator" w:id="0">
    <w:p w14:paraId="55735620" w14:textId="77777777" w:rsidR="001E7095" w:rsidRDefault="001E7095" w:rsidP="000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porate Blac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22E7" w14:textId="77777777" w:rsidR="00946C50" w:rsidRDefault="00946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6BA5" w14:textId="77777777" w:rsidR="00946C50" w:rsidRDefault="00946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BF31" w14:textId="77777777" w:rsidR="00946C50" w:rsidRDefault="00946C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68E1" w14:textId="77777777" w:rsidR="008B370D" w:rsidRDefault="008B370D">
    <w:pPr>
      <w:pStyle w:val="Footer"/>
      <w:jc w:val="center"/>
      <w:rPr>
        <w:rStyle w:val="PageNumber"/>
        <w:rFonts w:ascii="Verdana" w:hAnsi="Verdana"/>
      </w:rPr>
    </w:pPr>
  </w:p>
  <w:p w14:paraId="361D4E57" w14:textId="77777777" w:rsidR="008B370D" w:rsidRDefault="004F1B98">
    <w:pPr>
      <w:pStyle w:val="Footer"/>
      <w:jc w:val="center"/>
      <w:rPr>
        <w:rStyle w:val="PageNumber"/>
        <w:rFonts w:ascii="Verdana" w:hAnsi="Verdana"/>
      </w:rPr>
    </w:pPr>
    <w:r>
      <w:rPr>
        <w:rStyle w:val="PageNumber"/>
        <w:rFonts w:ascii="Verdana" w:hAnsi="Verdana"/>
      </w:rPr>
      <w:t xml:space="preserve">Page </w:t>
    </w:r>
    <w:r>
      <w:rPr>
        <w:rStyle w:val="PageNumber"/>
        <w:rFonts w:ascii="Verdana" w:hAnsi="Verdana"/>
      </w:rPr>
      <w:fldChar w:fldCharType="begin"/>
    </w:r>
    <w:r>
      <w:rPr>
        <w:rStyle w:val="PageNumber"/>
        <w:rFonts w:ascii="Verdana" w:hAnsi="Verdana"/>
      </w:rPr>
      <w:instrText xml:space="preserve"> PAGE </w:instrText>
    </w:r>
    <w:r>
      <w:rPr>
        <w:rStyle w:val="PageNumber"/>
        <w:rFonts w:ascii="Verdana" w:hAnsi="Verdana"/>
      </w:rPr>
      <w:fldChar w:fldCharType="separate"/>
    </w:r>
    <w:r>
      <w:rPr>
        <w:rStyle w:val="PageNumber"/>
        <w:rFonts w:ascii="Verdana" w:hAnsi="Verdana"/>
        <w:noProof/>
      </w:rPr>
      <w:t>53</w:t>
    </w:r>
    <w:r>
      <w:rPr>
        <w:rStyle w:val="PageNumber"/>
        <w:rFonts w:ascii="Verdana" w:hAnsi="Verdana"/>
      </w:rPr>
      <w:fldChar w:fldCharType="end"/>
    </w:r>
    <w:r>
      <w:rPr>
        <w:rStyle w:val="PageNumber"/>
        <w:rFonts w:ascii="Verdana" w:hAnsi="Verdana"/>
      </w:rPr>
      <w:t xml:space="preserve"> of </w:t>
    </w:r>
    <w:r>
      <w:rPr>
        <w:rStyle w:val="PageNumber"/>
        <w:rFonts w:ascii="Verdana" w:hAnsi="Verdana"/>
      </w:rPr>
      <w:fldChar w:fldCharType="begin"/>
    </w:r>
    <w:r>
      <w:rPr>
        <w:rStyle w:val="PageNumber"/>
        <w:rFonts w:ascii="Verdana" w:hAnsi="Verdana"/>
      </w:rPr>
      <w:instrText xml:space="preserve"> NUMPAGES </w:instrText>
    </w:r>
    <w:r>
      <w:rPr>
        <w:rStyle w:val="PageNumber"/>
        <w:rFonts w:ascii="Verdana" w:hAnsi="Verdana"/>
      </w:rPr>
      <w:fldChar w:fldCharType="separate"/>
    </w:r>
    <w:r>
      <w:rPr>
        <w:rStyle w:val="PageNumber"/>
        <w:rFonts w:ascii="Verdana" w:hAnsi="Verdana"/>
        <w:noProof/>
      </w:rPr>
      <w:t>53</w:t>
    </w:r>
    <w:r>
      <w:rPr>
        <w:rStyle w:val="PageNumber"/>
        <w:rFonts w:ascii="Verdana" w:hAnsi="Verdana"/>
      </w:rPr>
      <w:fldChar w:fldCharType="end"/>
    </w:r>
  </w:p>
  <w:p w14:paraId="1D5327D7" w14:textId="77777777" w:rsidR="008B370D" w:rsidRDefault="008B370D">
    <w:pPr>
      <w:pStyle w:val="Footer"/>
      <w:jc w:val="center"/>
      <w:rPr>
        <w:rStyle w:val="PageNumber"/>
        <w:rFonts w:ascii="Verdana" w:hAnsi="Verdan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9D14" w14:textId="77777777" w:rsidR="008B370D" w:rsidRDefault="008B370D">
    <w:pPr>
      <w:pStyle w:val="Footer"/>
      <w:jc w:val="center"/>
      <w:rPr>
        <w:rStyle w:val="PageNumber"/>
        <w:rFonts w:ascii="Verdana" w:hAnsi="Verdana"/>
      </w:rPr>
    </w:pPr>
  </w:p>
  <w:p w14:paraId="1796CB2E" w14:textId="77777777" w:rsidR="008B370D" w:rsidRDefault="004F1B98">
    <w:pPr>
      <w:pStyle w:val="Footer"/>
      <w:jc w:val="center"/>
      <w:rPr>
        <w:rStyle w:val="PageNumber"/>
        <w:rFonts w:ascii="Verdana" w:hAnsi="Verdana"/>
      </w:rPr>
    </w:pPr>
    <w:r>
      <w:rPr>
        <w:rStyle w:val="PageNumber"/>
        <w:rFonts w:ascii="Verdana" w:hAnsi="Verdana"/>
      </w:rPr>
      <w:t xml:space="preserve">Page </w:t>
    </w:r>
    <w:r>
      <w:rPr>
        <w:rStyle w:val="PageNumber"/>
        <w:rFonts w:ascii="Verdana" w:hAnsi="Verdana"/>
      </w:rPr>
      <w:fldChar w:fldCharType="begin"/>
    </w:r>
    <w:r>
      <w:rPr>
        <w:rStyle w:val="PageNumber"/>
        <w:rFonts w:ascii="Verdana" w:hAnsi="Verdana"/>
      </w:rPr>
      <w:instrText xml:space="preserve"> PAGE </w:instrText>
    </w:r>
    <w:r>
      <w:rPr>
        <w:rStyle w:val="PageNumber"/>
        <w:rFonts w:ascii="Verdana" w:hAnsi="Verdana"/>
      </w:rPr>
      <w:fldChar w:fldCharType="separate"/>
    </w:r>
    <w:r>
      <w:rPr>
        <w:rStyle w:val="PageNumber"/>
        <w:rFonts w:ascii="Verdana" w:hAnsi="Verdana"/>
        <w:noProof/>
      </w:rPr>
      <w:t>1</w:t>
    </w:r>
    <w:r>
      <w:rPr>
        <w:rStyle w:val="PageNumber"/>
        <w:rFonts w:ascii="Verdana" w:hAnsi="Verdana"/>
      </w:rPr>
      <w:fldChar w:fldCharType="end"/>
    </w:r>
    <w:r>
      <w:rPr>
        <w:rStyle w:val="PageNumber"/>
        <w:rFonts w:ascii="Verdana" w:hAnsi="Verdana"/>
      </w:rPr>
      <w:t xml:space="preserve"> of </w:t>
    </w:r>
    <w:r>
      <w:rPr>
        <w:rStyle w:val="PageNumber"/>
        <w:rFonts w:ascii="Verdana" w:hAnsi="Verdana"/>
      </w:rPr>
      <w:fldChar w:fldCharType="begin"/>
    </w:r>
    <w:r>
      <w:rPr>
        <w:rStyle w:val="PageNumber"/>
        <w:rFonts w:ascii="Verdana" w:hAnsi="Verdana"/>
      </w:rPr>
      <w:instrText xml:space="preserve"> NUMPAGES </w:instrText>
    </w:r>
    <w:r>
      <w:rPr>
        <w:rStyle w:val="PageNumber"/>
        <w:rFonts w:ascii="Verdana" w:hAnsi="Verdana"/>
      </w:rPr>
      <w:fldChar w:fldCharType="separate"/>
    </w:r>
    <w:r>
      <w:rPr>
        <w:rStyle w:val="PageNumber"/>
        <w:rFonts w:ascii="Verdana" w:hAnsi="Verdana"/>
        <w:noProof/>
      </w:rPr>
      <w:t>4</w:t>
    </w:r>
    <w:r>
      <w:rPr>
        <w:rStyle w:val="PageNumber"/>
        <w:rFonts w:ascii="Verdana" w:hAnsi="Verdana"/>
      </w:rPr>
      <w:fldChar w:fldCharType="end"/>
    </w:r>
  </w:p>
  <w:p w14:paraId="0EFD5F0F" w14:textId="77777777" w:rsidR="008B370D" w:rsidRDefault="008B370D">
    <w:pPr>
      <w:pStyle w:val="Footer"/>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9440" w14:textId="77777777" w:rsidR="001E7095" w:rsidRDefault="001E7095" w:rsidP="00097CF2">
      <w:pPr>
        <w:spacing w:after="0" w:line="240" w:lineRule="auto"/>
      </w:pPr>
      <w:r>
        <w:separator/>
      </w:r>
    </w:p>
  </w:footnote>
  <w:footnote w:type="continuationSeparator" w:id="0">
    <w:p w14:paraId="43893C7E" w14:textId="77777777" w:rsidR="001E7095" w:rsidRDefault="001E7095" w:rsidP="000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43D6" w14:textId="77777777" w:rsidR="00946C50" w:rsidRDefault="00946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E194" w14:textId="77777777" w:rsidR="00097CF2" w:rsidRDefault="00097CF2">
    <w:pPr>
      <w:pStyle w:val="Header"/>
    </w:pPr>
    <w:r>
      <w:rPr>
        <w:noProof/>
      </w:rPr>
      <mc:AlternateContent>
        <mc:Choice Requires="wps">
          <w:drawing>
            <wp:anchor distT="0" distB="0" distL="114300" distR="114300" simplePos="0" relativeHeight="251659264" behindDoc="0" locked="0" layoutInCell="0" allowOverlap="1" wp14:anchorId="041A54D5" wp14:editId="013522A2">
              <wp:simplePos x="0" y="0"/>
              <wp:positionH relativeFrom="page">
                <wp:posOffset>0</wp:posOffset>
              </wp:positionH>
              <wp:positionV relativeFrom="page">
                <wp:posOffset>190500</wp:posOffset>
              </wp:positionV>
              <wp:extent cx="7560310" cy="273050"/>
              <wp:effectExtent l="0" t="0" r="0" b="12700"/>
              <wp:wrapNone/>
              <wp:docPr id="2" name="MSIPCMc73a438f842cb0b93a78a72a"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2903A8" w14:textId="77777777" w:rsidR="00097CF2" w:rsidRPr="00097CF2" w:rsidRDefault="00097CF2" w:rsidP="00097CF2">
                          <w:pPr>
                            <w:spacing w:after="0"/>
                            <w:jc w:val="right"/>
                            <w:rPr>
                              <w:rFonts w:ascii="Calibri" w:hAnsi="Calibri" w:cs="Calibri"/>
                              <w:color w:val="FF8C00"/>
                              <w:sz w:val="20"/>
                            </w:rPr>
                          </w:pPr>
                          <w:r w:rsidRPr="00097CF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41A54D5" id="_x0000_t202" coordsize="21600,21600" o:spt="202" path="m,l,21600r21600,l21600,xe">
              <v:stroke joinstyle="miter"/>
              <v:path gradientshapeok="t" o:connecttype="rect"/>
            </v:shapetype>
            <v:shape id="MSIPCMc73a438f842cb0b93a78a72a"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" o:allowincell="f" filled="f" stroked="f" strokeweight=".5pt">
              <v:textbox inset=",0,20pt,0">
                <w:txbxContent>
                  <w:p w14:paraId="4A2903A8" w14:textId="77777777" w:rsidR="00097CF2" w:rsidRPr="00097CF2" w:rsidRDefault="00097CF2" w:rsidP="00097CF2">
                    <w:pPr>
                      <w:spacing w:after="0"/>
                      <w:jc w:val="right"/>
                      <w:rPr>
                        <w:rFonts w:ascii="Calibri" w:hAnsi="Calibri" w:cs="Calibri"/>
                        <w:color w:val="FF8C00"/>
                        <w:sz w:val="20"/>
                      </w:rPr>
                    </w:pPr>
                    <w:r w:rsidRPr="00097CF2">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0678" w14:textId="77777777" w:rsidR="00097CF2" w:rsidRDefault="00097CF2">
    <w:pPr>
      <w:pStyle w:val="Header"/>
    </w:pPr>
    <w:r>
      <w:rPr>
        <w:noProof/>
      </w:rPr>
      <mc:AlternateContent>
        <mc:Choice Requires="wps">
          <w:drawing>
            <wp:anchor distT="0" distB="0" distL="114300" distR="114300" simplePos="1" relativeHeight="251660288" behindDoc="0" locked="0" layoutInCell="0" allowOverlap="1" wp14:anchorId="6E7E5D9E" wp14:editId="00DA5C28">
              <wp:simplePos x="0" y="190500"/>
              <wp:positionH relativeFrom="page">
                <wp:posOffset>0</wp:posOffset>
              </wp:positionH>
              <wp:positionV relativeFrom="page">
                <wp:posOffset>190500</wp:posOffset>
              </wp:positionV>
              <wp:extent cx="7560310" cy="273050"/>
              <wp:effectExtent l="0" t="0" r="0" b="12700"/>
              <wp:wrapNone/>
              <wp:docPr id="3" name="MSIPCM686a4841ba1b90727ac94707"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356FB2" w14:textId="77777777" w:rsidR="00097CF2" w:rsidRPr="00097CF2" w:rsidRDefault="00097CF2" w:rsidP="00097CF2">
                          <w:pPr>
                            <w:spacing w:after="0"/>
                            <w:jc w:val="right"/>
                            <w:rPr>
                              <w:rFonts w:ascii="Calibri" w:hAnsi="Calibri" w:cs="Calibri"/>
                              <w:color w:val="FF8C00"/>
                              <w:sz w:val="20"/>
                            </w:rPr>
                          </w:pPr>
                          <w:r w:rsidRPr="00097CF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E7E5D9E" id="_x0000_t202" coordsize="21600,21600" o:spt="202" path="m,l,21600r21600,l21600,xe">
              <v:stroke joinstyle="miter"/>
              <v:path gradientshapeok="t" o:connecttype="rect"/>
            </v:shapetype>
            <v:shape id="MSIPCM686a4841ba1b90727ac94707" o:spid="_x0000_s1027" type="#_x0000_t202" alt="{&quot;HashCode&quot;:-2130211288,&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" o:allowincell="f" filled="f" stroked="f" strokeweight=".5pt">
              <v:textbox inset=",0,20pt,0">
                <w:txbxContent>
                  <w:p w14:paraId="5D356FB2" w14:textId="77777777" w:rsidR="00097CF2" w:rsidRPr="00097CF2" w:rsidRDefault="00097CF2" w:rsidP="00097CF2">
                    <w:pPr>
                      <w:spacing w:after="0"/>
                      <w:jc w:val="right"/>
                      <w:rPr>
                        <w:rFonts w:ascii="Calibri" w:hAnsi="Calibri" w:cs="Calibri"/>
                        <w:color w:val="FF8C00"/>
                        <w:sz w:val="20"/>
                      </w:rPr>
                    </w:pPr>
                    <w:r w:rsidRPr="00097CF2">
                      <w:rPr>
                        <w:rFonts w:ascii="Calibri" w:hAnsi="Calibri" w:cs="Calibri"/>
                        <w:color w:val="FF8C00"/>
                        <w:sz w:val="20"/>
                      </w:rPr>
                      <w:t>Information Classification: CONTROLLED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4ADB" w14:textId="77777777" w:rsidR="008B370D" w:rsidRDefault="00097CF2">
    <w:pPr>
      <w:pStyle w:val="Header"/>
    </w:pPr>
    <w:r>
      <w:rPr>
        <w:noProof/>
      </w:rPr>
      <mc:AlternateContent>
        <mc:Choice Requires="wps">
          <w:drawing>
            <wp:anchor distT="0" distB="0" distL="114300" distR="114300" simplePos="0" relativeHeight="251661312" behindDoc="0" locked="0" layoutInCell="0" allowOverlap="1" wp14:anchorId="540E1CCF" wp14:editId="3C740678">
              <wp:simplePos x="0" y="0"/>
              <wp:positionH relativeFrom="page">
                <wp:posOffset>0</wp:posOffset>
              </wp:positionH>
              <wp:positionV relativeFrom="page">
                <wp:posOffset>190500</wp:posOffset>
              </wp:positionV>
              <wp:extent cx="7560310" cy="273050"/>
              <wp:effectExtent l="0" t="0" r="0" b="12700"/>
              <wp:wrapNone/>
              <wp:docPr id="4" name="MSIPCMe0774fccb1c4afea27e52ad2" descr="{&quot;HashCode&quot;:-2130211288,&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44B6D" w14:textId="77777777" w:rsidR="00097CF2" w:rsidRPr="00097CF2" w:rsidRDefault="00097CF2" w:rsidP="00097CF2">
                          <w:pPr>
                            <w:spacing w:after="0"/>
                            <w:jc w:val="right"/>
                            <w:rPr>
                              <w:rFonts w:ascii="Calibri" w:hAnsi="Calibri" w:cs="Calibri"/>
                              <w:color w:val="FF8C00"/>
                              <w:sz w:val="20"/>
                            </w:rPr>
                          </w:pPr>
                          <w:r w:rsidRPr="00097CF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40E1CCF" id="_x0000_t202" coordsize="21600,21600" o:spt="202" path="m,l,21600r21600,l21600,xe">
              <v:stroke joinstyle="miter"/>
              <v:path gradientshapeok="t" o:connecttype="rect"/>
            </v:shapetype>
            <v:shape id="MSIPCMe0774fccb1c4afea27e52ad2" o:spid="_x0000_s1028" type="#_x0000_t202" alt="{&quot;HashCode&quot;:-2130211288,&quot;Height&quot;:841.0,&quot;Width&quot;:595.0,&quot;Placement&quot;:&quot;Header&quot;,&quot;Index&quot;:&quot;Primary&quot;,&quot;Section&quot;:2,&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" o:allowincell="f" filled="f" stroked="f" strokeweight=".5pt">
              <v:textbox inset=",0,20pt,0">
                <w:txbxContent>
                  <w:p w14:paraId="4D744B6D" w14:textId="77777777" w:rsidR="00097CF2" w:rsidRPr="00097CF2" w:rsidRDefault="00097CF2" w:rsidP="00097CF2">
                    <w:pPr>
                      <w:spacing w:after="0"/>
                      <w:jc w:val="right"/>
                      <w:rPr>
                        <w:rFonts w:ascii="Calibri" w:hAnsi="Calibri" w:cs="Calibri"/>
                        <w:color w:val="FF8C00"/>
                        <w:sz w:val="20"/>
                      </w:rPr>
                    </w:pPr>
                    <w:r w:rsidRPr="00097CF2">
                      <w:rPr>
                        <w:rFonts w:ascii="Calibri" w:hAnsi="Calibri" w:cs="Calibri"/>
                        <w:color w:val="FF8C00"/>
                        <w:sz w:val="20"/>
                      </w:rPr>
                      <w:t>Information Classification: CONTROLLED</w:t>
                    </w:r>
                  </w:p>
                </w:txbxContent>
              </v:textbox>
              <w10:wrap anchorx="page" anchory="page"/>
            </v:shape>
          </w:pict>
        </mc:Fallback>
      </mc:AlternateContent>
    </w:r>
  </w:p>
  <w:p w14:paraId="362E7F76" w14:textId="77777777" w:rsidR="008B370D" w:rsidRDefault="008B370D">
    <w:pPr>
      <w:pStyle w:val="Header"/>
    </w:pPr>
  </w:p>
  <w:p w14:paraId="30DCABC8" w14:textId="77777777" w:rsidR="008B370D" w:rsidRDefault="008B3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D7931"/>
    <w:multiLevelType w:val="hybridMultilevel"/>
    <w:tmpl w:val="300A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32FB4"/>
    <w:multiLevelType w:val="hybridMultilevel"/>
    <w:tmpl w:val="A3FA515A"/>
    <w:lvl w:ilvl="0" w:tplc="22E2B364">
      <w:numFmt w:val="bullet"/>
      <w:lvlText w:val="-"/>
      <w:lvlJc w:val="left"/>
      <w:pPr>
        <w:tabs>
          <w:tab w:val="num" w:pos="1080"/>
        </w:tabs>
        <w:ind w:left="1080" w:hanging="360"/>
      </w:pPr>
      <w:rPr>
        <w:rFonts w:ascii="Arial" w:eastAsia="Times New Roman" w:hAnsi="Aria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0A6EE7"/>
    <w:multiLevelType w:val="hybridMultilevel"/>
    <w:tmpl w:val="E1528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217D8"/>
    <w:multiLevelType w:val="hybridMultilevel"/>
    <w:tmpl w:val="45A43828"/>
    <w:lvl w:ilvl="0" w:tplc="E2543E8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06805">
    <w:abstractNumId w:val="1"/>
  </w:num>
  <w:num w:numId="2" w16cid:durableId="1183590218">
    <w:abstractNumId w:val="2"/>
  </w:num>
  <w:num w:numId="3" w16cid:durableId="2070616805">
    <w:abstractNumId w:val="0"/>
  </w:num>
  <w:num w:numId="4" w16cid:durableId="659188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F2"/>
    <w:rsid w:val="0008584B"/>
    <w:rsid w:val="00097CF2"/>
    <w:rsid w:val="000B3D36"/>
    <w:rsid w:val="000B413A"/>
    <w:rsid w:val="000C7DB5"/>
    <w:rsid w:val="001761A4"/>
    <w:rsid w:val="00193CBE"/>
    <w:rsid w:val="001B6489"/>
    <w:rsid w:val="001D50DD"/>
    <w:rsid w:val="001E7095"/>
    <w:rsid w:val="001F0A1B"/>
    <w:rsid w:val="001F5A8E"/>
    <w:rsid w:val="00213C44"/>
    <w:rsid w:val="002344EE"/>
    <w:rsid w:val="00267B2D"/>
    <w:rsid w:val="00285D31"/>
    <w:rsid w:val="00294B55"/>
    <w:rsid w:val="003003B4"/>
    <w:rsid w:val="0034385A"/>
    <w:rsid w:val="00391760"/>
    <w:rsid w:val="00392B46"/>
    <w:rsid w:val="003B42C8"/>
    <w:rsid w:val="004062C7"/>
    <w:rsid w:val="00442456"/>
    <w:rsid w:val="00450F36"/>
    <w:rsid w:val="004906AD"/>
    <w:rsid w:val="00497AE6"/>
    <w:rsid w:val="004B50EF"/>
    <w:rsid w:val="004D7C2C"/>
    <w:rsid w:val="004F1B98"/>
    <w:rsid w:val="005356B7"/>
    <w:rsid w:val="00550C75"/>
    <w:rsid w:val="00555A98"/>
    <w:rsid w:val="00576595"/>
    <w:rsid w:val="005B56CA"/>
    <w:rsid w:val="005E25DC"/>
    <w:rsid w:val="005E624D"/>
    <w:rsid w:val="0061755C"/>
    <w:rsid w:val="00645ABE"/>
    <w:rsid w:val="00647BC9"/>
    <w:rsid w:val="006D7B54"/>
    <w:rsid w:val="006E55A3"/>
    <w:rsid w:val="00747033"/>
    <w:rsid w:val="00772F76"/>
    <w:rsid w:val="007A450D"/>
    <w:rsid w:val="008469B7"/>
    <w:rsid w:val="0088114A"/>
    <w:rsid w:val="00893486"/>
    <w:rsid w:val="008A2A24"/>
    <w:rsid w:val="008B370D"/>
    <w:rsid w:val="008C724C"/>
    <w:rsid w:val="008D09A5"/>
    <w:rsid w:val="008D5623"/>
    <w:rsid w:val="008E67BF"/>
    <w:rsid w:val="00946C50"/>
    <w:rsid w:val="00954A26"/>
    <w:rsid w:val="00955382"/>
    <w:rsid w:val="00984E76"/>
    <w:rsid w:val="009B7A2F"/>
    <w:rsid w:val="00A0635C"/>
    <w:rsid w:val="00A11C01"/>
    <w:rsid w:val="00A758F0"/>
    <w:rsid w:val="00A807A8"/>
    <w:rsid w:val="00B606A7"/>
    <w:rsid w:val="00BC4378"/>
    <w:rsid w:val="00BE394C"/>
    <w:rsid w:val="00CD09B0"/>
    <w:rsid w:val="00CF39E1"/>
    <w:rsid w:val="00CF7000"/>
    <w:rsid w:val="00D15007"/>
    <w:rsid w:val="00D24448"/>
    <w:rsid w:val="00D347C8"/>
    <w:rsid w:val="00D8426D"/>
    <w:rsid w:val="00DD331B"/>
    <w:rsid w:val="00DE1790"/>
    <w:rsid w:val="00E4344C"/>
    <w:rsid w:val="00E466E4"/>
    <w:rsid w:val="00E729F5"/>
    <w:rsid w:val="00EA77E8"/>
    <w:rsid w:val="00EC43B4"/>
    <w:rsid w:val="00F03EF4"/>
    <w:rsid w:val="00F20C84"/>
    <w:rsid w:val="00F263AB"/>
    <w:rsid w:val="00F33BA3"/>
    <w:rsid w:val="00F43B23"/>
    <w:rsid w:val="00F83FEF"/>
    <w:rsid w:val="00F860ED"/>
    <w:rsid w:val="00F92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1B98"/>
  <w15:chartTrackingRefBased/>
  <w15:docId w15:val="{2053A678-EDB6-46AC-B525-55E6B2FA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097CF2"/>
    <w:pPr>
      <w:keepNext/>
      <w:autoSpaceDE w:val="0"/>
      <w:autoSpaceDN w:val="0"/>
      <w:spacing w:after="0" w:line="240" w:lineRule="auto"/>
      <w:outlineLvl w:val="3"/>
    </w:pPr>
    <w:rPr>
      <w:rFonts w:ascii="Corporate Black" w:eastAsia="Times New Roman" w:hAnsi="Corporate Black" w:cs="Corporate Black"/>
      <w:sz w:val="36"/>
      <w:szCs w:val="36"/>
      <w:lang w:eastAsia="en-GB"/>
    </w:rPr>
  </w:style>
  <w:style w:type="paragraph" w:styleId="Heading5">
    <w:name w:val="heading 5"/>
    <w:basedOn w:val="Normal"/>
    <w:next w:val="Normal"/>
    <w:link w:val="Heading5Char"/>
    <w:uiPriority w:val="99"/>
    <w:qFormat/>
    <w:rsid w:val="00097CF2"/>
    <w:pPr>
      <w:keepNext/>
      <w:tabs>
        <w:tab w:val="left" w:pos="2160"/>
      </w:tabs>
      <w:autoSpaceDE w:val="0"/>
      <w:autoSpaceDN w:val="0"/>
      <w:spacing w:after="0" w:line="240" w:lineRule="auto"/>
      <w:jc w:val="both"/>
      <w:outlineLvl w:val="4"/>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097CF2"/>
    <w:rPr>
      <w:rFonts w:ascii="Corporate Black" w:eastAsia="Times New Roman" w:hAnsi="Corporate Black" w:cs="Corporate Black"/>
      <w:sz w:val="36"/>
      <w:szCs w:val="36"/>
      <w:lang w:eastAsia="en-GB"/>
    </w:rPr>
  </w:style>
  <w:style w:type="character" w:customStyle="1" w:styleId="Heading5Char">
    <w:name w:val="Heading 5 Char"/>
    <w:basedOn w:val="DefaultParagraphFont"/>
    <w:link w:val="Heading5"/>
    <w:uiPriority w:val="99"/>
    <w:rsid w:val="00097CF2"/>
    <w:rPr>
      <w:rFonts w:ascii="Arial" w:eastAsia="Times New Roman" w:hAnsi="Arial" w:cs="Arial"/>
      <w:b/>
      <w:bCs/>
      <w:lang w:eastAsia="en-GB"/>
    </w:rPr>
  </w:style>
  <w:style w:type="numbering" w:customStyle="1" w:styleId="NoList1">
    <w:name w:val="No List1"/>
    <w:next w:val="NoList"/>
    <w:uiPriority w:val="99"/>
    <w:semiHidden/>
    <w:unhideWhenUsed/>
    <w:rsid w:val="00097CF2"/>
  </w:style>
  <w:style w:type="character" w:styleId="Hyperlink">
    <w:name w:val="Hyperlink"/>
    <w:basedOn w:val="DefaultParagraphFont"/>
    <w:uiPriority w:val="99"/>
    <w:rsid w:val="00097CF2"/>
    <w:rPr>
      <w:rFonts w:cs="Times New Roman"/>
      <w:color w:val="0000FF"/>
      <w:u w:val="single"/>
    </w:rPr>
  </w:style>
  <w:style w:type="table" w:styleId="TableGrid">
    <w:name w:val="Table Grid"/>
    <w:basedOn w:val="TableNormal"/>
    <w:uiPriority w:val="99"/>
    <w:rsid w:val="00097CF2"/>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cbodytext">
    <w:name w:val="kdcbodytext"/>
    <w:basedOn w:val="Normal"/>
    <w:uiPriority w:val="99"/>
    <w:rsid w:val="00097CF2"/>
    <w:pPr>
      <w:tabs>
        <w:tab w:val="left" w:pos="680"/>
      </w:tabs>
      <w:autoSpaceDE w:val="0"/>
      <w:autoSpaceDN w:val="0"/>
      <w:spacing w:after="0" w:line="240" w:lineRule="auto"/>
      <w:ind w:left="567" w:right="567"/>
    </w:pPr>
    <w:rPr>
      <w:rFonts w:ascii="Arial" w:eastAsia="Times New Roman" w:hAnsi="Arial" w:cs="Arial"/>
      <w:lang w:eastAsia="en-GB"/>
    </w:rPr>
  </w:style>
  <w:style w:type="paragraph" w:customStyle="1" w:styleId="leafletstyle">
    <w:name w:val="leaflet style"/>
    <w:basedOn w:val="Normal"/>
    <w:uiPriority w:val="99"/>
    <w:rsid w:val="00097CF2"/>
    <w:pPr>
      <w:autoSpaceDE w:val="0"/>
      <w:autoSpaceDN w:val="0"/>
      <w:spacing w:after="0" w:line="240" w:lineRule="auto"/>
    </w:pPr>
    <w:rPr>
      <w:rFonts w:ascii="Arial" w:eastAsia="Times New Roman" w:hAnsi="Arial" w:cs="Arial"/>
      <w:lang w:eastAsia="en-GB"/>
    </w:rPr>
  </w:style>
  <w:style w:type="paragraph" w:styleId="BodyText">
    <w:name w:val="Body Text"/>
    <w:basedOn w:val="Normal"/>
    <w:link w:val="BodyTextChar"/>
    <w:uiPriority w:val="99"/>
    <w:rsid w:val="00097CF2"/>
    <w:pPr>
      <w:autoSpaceDE w:val="0"/>
      <w:autoSpaceDN w:val="0"/>
      <w:spacing w:after="0" w:line="240" w:lineRule="auto"/>
    </w:pPr>
    <w:rPr>
      <w:rFonts w:ascii="Arial" w:eastAsia="Times New Roman" w:hAnsi="Arial" w:cs="Arial"/>
      <w:b/>
      <w:bCs/>
      <w:sz w:val="24"/>
      <w:szCs w:val="24"/>
      <w:lang w:eastAsia="en-GB"/>
    </w:rPr>
  </w:style>
  <w:style w:type="character" w:customStyle="1" w:styleId="BodyTextChar">
    <w:name w:val="Body Text Char"/>
    <w:basedOn w:val="DefaultParagraphFont"/>
    <w:link w:val="BodyText"/>
    <w:uiPriority w:val="99"/>
    <w:rsid w:val="00097CF2"/>
    <w:rPr>
      <w:rFonts w:ascii="Arial" w:eastAsia="Times New Roman" w:hAnsi="Arial" w:cs="Arial"/>
      <w:b/>
      <w:bCs/>
      <w:sz w:val="24"/>
      <w:szCs w:val="24"/>
      <w:lang w:eastAsia="en-GB"/>
    </w:rPr>
  </w:style>
  <w:style w:type="paragraph" w:customStyle="1" w:styleId="kdcmain2">
    <w:name w:val="kdcmain2"/>
    <w:basedOn w:val="kdcbodytext"/>
    <w:uiPriority w:val="99"/>
    <w:rsid w:val="00097CF2"/>
    <w:pPr>
      <w:tabs>
        <w:tab w:val="clear" w:pos="680"/>
        <w:tab w:val="left" w:pos="2127"/>
      </w:tabs>
      <w:ind w:left="1276" w:hanging="1276"/>
    </w:pPr>
  </w:style>
  <w:style w:type="paragraph" w:styleId="Footer">
    <w:name w:val="footer"/>
    <w:basedOn w:val="Normal"/>
    <w:link w:val="FooterChar"/>
    <w:uiPriority w:val="99"/>
    <w:rsid w:val="00097CF2"/>
    <w:pPr>
      <w:tabs>
        <w:tab w:val="center" w:pos="4153"/>
        <w:tab w:val="right" w:pos="8306"/>
      </w:tabs>
      <w:autoSpaceDE w:val="0"/>
      <w:autoSpaceDN w:val="0"/>
      <w:spacing w:after="0" w:line="240" w:lineRule="auto"/>
    </w:pPr>
    <w:rPr>
      <w:rFonts w:ascii="Arial" w:eastAsia="Times New Roman" w:hAnsi="Arial" w:cs="Arial"/>
      <w:lang w:eastAsia="en-GB"/>
    </w:rPr>
  </w:style>
  <w:style w:type="character" w:customStyle="1" w:styleId="FooterChar">
    <w:name w:val="Footer Char"/>
    <w:basedOn w:val="DefaultParagraphFont"/>
    <w:link w:val="Footer"/>
    <w:uiPriority w:val="99"/>
    <w:rsid w:val="00097CF2"/>
    <w:rPr>
      <w:rFonts w:ascii="Arial" w:eastAsia="Times New Roman" w:hAnsi="Arial" w:cs="Arial"/>
      <w:lang w:eastAsia="en-GB"/>
    </w:rPr>
  </w:style>
  <w:style w:type="paragraph" w:styleId="Header">
    <w:name w:val="header"/>
    <w:basedOn w:val="Normal"/>
    <w:link w:val="HeaderChar"/>
    <w:uiPriority w:val="99"/>
    <w:rsid w:val="00097CF2"/>
    <w:pPr>
      <w:tabs>
        <w:tab w:val="center" w:pos="4153"/>
        <w:tab w:val="right" w:pos="8306"/>
      </w:tabs>
      <w:autoSpaceDE w:val="0"/>
      <w:autoSpaceDN w:val="0"/>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097CF2"/>
    <w:rPr>
      <w:rFonts w:ascii="Arial" w:eastAsia="Times New Roman" w:hAnsi="Arial" w:cs="Arial"/>
      <w:lang w:eastAsia="en-GB"/>
    </w:rPr>
  </w:style>
  <w:style w:type="character" w:styleId="PageNumber">
    <w:name w:val="page number"/>
    <w:basedOn w:val="DefaultParagraphFont"/>
    <w:uiPriority w:val="99"/>
    <w:rsid w:val="00097CF2"/>
    <w:rPr>
      <w:rFonts w:cs="Times New Roman"/>
    </w:rPr>
  </w:style>
  <w:style w:type="paragraph" w:styleId="BalloonText">
    <w:name w:val="Balloon Text"/>
    <w:basedOn w:val="Normal"/>
    <w:link w:val="BalloonTextChar"/>
    <w:uiPriority w:val="99"/>
    <w:semiHidden/>
    <w:unhideWhenUsed/>
    <w:rsid w:val="00097CF2"/>
    <w:pPr>
      <w:autoSpaceDE w:val="0"/>
      <w:autoSpaceDN w:val="0"/>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097CF2"/>
    <w:rPr>
      <w:rFonts w:ascii="Tahoma" w:eastAsia="Times New Roman" w:hAnsi="Tahoma" w:cs="Tahoma"/>
      <w:sz w:val="16"/>
      <w:szCs w:val="16"/>
      <w:lang w:eastAsia="en-GB"/>
    </w:rPr>
  </w:style>
  <w:style w:type="table" w:customStyle="1" w:styleId="TableGrid1">
    <w:name w:val="Table Grid1"/>
    <w:basedOn w:val="TableNormal"/>
    <w:next w:val="TableGrid"/>
    <w:rsid w:val="000C7DB5"/>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94C"/>
    <w:pPr>
      <w:ind w:left="720"/>
      <w:contextualSpacing/>
    </w:pPr>
  </w:style>
  <w:style w:type="character" w:styleId="CommentReference">
    <w:name w:val="annotation reference"/>
    <w:basedOn w:val="DefaultParagraphFont"/>
    <w:uiPriority w:val="99"/>
    <w:semiHidden/>
    <w:unhideWhenUsed/>
    <w:rsid w:val="008A2A24"/>
    <w:rPr>
      <w:sz w:val="16"/>
      <w:szCs w:val="16"/>
    </w:rPr>
  </w:style>
  <w:style w:type="paragraph" w:styleId="CommentText">
    <w:name w:val="annotation text"/>
    <w:basedOn w:val="Normal"/>
    <w:link w:val="CommentTextChar"/>
    <w:uiPriority w:val="99"/>
    <w:semiHidden/>
    <w:unhideWhenUsed/>
    <w:rsid w:val="008A2A24"/>
    <w:pPr>
      <w:spacing w:line="240" w:lineRule="auto"/>
    </w:pPr>
    <w:rPr>
      <w:sz w:val="20"/>
      <w:szCs w:val="20"/>
    </w:rPr>
  </w:style>
  <w:style w:type="character" w:customStyle="1" w:styleId="CommentTextChar">
    <w:name w:val="Comment Text Char"/>
    <w:basedOn w:val="DefaultParagraphFont"/>
    <w:link w:val="CommentText"/>
    <w:uiPriority w:val="99"/>
    <w:semiHidden/>
    <w:rsid w:val="008A2A24"/>
    <w:rPr>
      <w:sz w:val="20"/>
      <w:szCs w:val="20"/>
    </w:rPr>
  </w:style>
  <w:style w:type="paragraph" w:styleId="CommentSubject">
    <w:name w:val="annotation subject"/>
    <w:basedOn w:val="CommentText"/>
    <w:next w:val="CommentText"/>
    <w:link w:val="CommentSubjectChar"/>
    <w:uiPriority w:val="99"/>
    <w:semiHidden/>
    <w:unhideWhenUsed/>
    <w:rsid w:val="008A2A24"/>
    <w:rPr>
      <w:b/>
      <w:bCs/>
    </w:rPr>
  </w:style>
  <w:style w:type="character" w:customStyle="1" w:styleId="CommentSubjectChar">
    <w:name w:val="Comment Subject Char"/>
    <w:basedOn w:val="CommentTextChar"/>
    <w:link w:val="CommentSubject"/>
    <w:uiPriority w:val="99"/>
    <w:semiHidden/>
    <w:rsid w:val="008A2A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936">
      <w:bodyDiv w:val="1"/>
      <w:marLeft w:val="0"/>
      <w:marRight w:val="0"/>
      <w:marTop w:val="0"/>
      <w:marBottom w:val="0"/>
      <w:divBdr>
        <w:top w:val="none" w:sz="0" w:space="0" w:color="auto"/>
        <w:left w:val="none" w:sz="0" w:space="0" w:color="auto"/>
        <w:bottom w:val="none" w:sz="0" w:space="0" w:color="auto"/>
        <w:right w:val="none" w:sz="0" w:space="0" w:color="auto"/>
      </w:divBdr>
    </w:div>
    <w:div w:id="94443548">
      <w:bodyDiv w:val="1"/>
      <w:marLeft w:val="0"/>
      <w:marRight w:val="0"/>
      <w:marTop w:val="0"/>
      <w:marBottom w:val="0"/>
      <w:divBdr>
        <w:top w:val="none" w:sz="0" w:space="0" w:color="auto"/>
        <w:left w:val="none" w:sz="0" w:space="0" w:color="auto"/>
        <w:bottom w:val="none" w:sz="0" w:space="0" w:color="auto"/>
        <w:right w:val="none" w:sz="0" w:space="0" w:color="auto"/>
      </w:divBdr>
    </w:div>
    <w:div w:id="11673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968349453B541B531BA18FE007A1D" ma:contentTypeVersion="13" ma:contentTypeDescription="Create a new document." ma:contentTypeScope="" ma:versionID="fc3750507630ba59216682a8153d309e">
  <xsd:schema xmlns:xsd="http://www.w3.org/2001/XMLSchema" xmlns:xs="http://www.w3.org/2001/XMLSchema" xmlns:p="http://schemas.microsoft.com/office/2006/metadata/properties" xmlns:ns3="c4fa84d3-14e6-47f7-955f-df9c5f268f36" xmlns:ns4="de1efcb9-77ab-4ef0-a3ba-34cd62ca8f95" targetNamespace="http://schemas.microsoft.com/office/2006/metadata/properties" ma:root="true" ma:fieldsID="b19b0ebb9a09731c5bf2f6750251908e" ns3:_="" ns4:_="">
    <xsd:import namespace="c4fa84d3-14e6-47f7-955f-df9c5f268f36"/>
    <xsd:import namespace="de1efcb9-77ab-4ef0-a3ba-34cd62ca8f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84d3-14e6-47f7-955f-df9c5f26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1efcb9-77ab-4ef0-a3ba-34cd62ca8f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F72D4-5D92-42A6-8E09-53903F2DA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84d3-14e6-47f7-955f-df9c5f268f36"/>
    <ds:schemaRef ds:uri="de1efcb9-77ab-4ef0-a3ba-34cd62ca8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3349D-D58A-4DFA-B032-D54A5831A62F}">
  <ds:schemaRefs>
    <ds:schemaRef ds:uri="http://schemas.microsoft.com/sharepoint/v3/contenttype/forms"/>
  </ds:schemaRefs>
</ds:datastoreItem>
</file>

<file path=customXml/itemProps3.xml><?xml version="1.0" encoding="utf-8"?>
<ds:datastoreItem xmlns:ds="http://schemas.openxmlformats.org/officeDocument/2006/customXml" ds:itemID="{32CD1302-FA73-436A-91EA-CB989EC92DF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e1efcb9-77ab-4ef0-a3ba-34cd62ca8f95"/>
    <ds:schemaRef ds:uri="http://purl.org/dc/elements/1.1/"/>
    <ds:schemaRef ds:uri="c4fa84d3-14e6-47f7-955f-df9c5f268f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3256</Words>
  <Characters>16383</Characters>
  <Application>Microsoft Office Word</Application>
  <DocSecurity>4</DocSecurity>
  <Lines>481</Lines>
  <Paragraphs>167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Doble</dc:creator>
  <cp:keywords/>
  <dc:description/>
  <cp:lastModifiedBy>Sophie Carlile</cp:lastModifiedBy>
  <cp:revision>2</cp:revision>
  <dcterms:created xsi:type="dcterms:W3CDTF">2023-10-12T11:12:00Z</dcterms:created>
  <dcterms:modified xsi:type="dcterms:W3CDTF">2023-10-12T11:12:00Z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0x010100D36968349453B541B531BA18FE007A1D</vt:lpwstr>
  </property>
  <property fmtid="{D5CDD505-2E9C-101B-9397-08002B2CF9AE}" pid="3" name="Reference_src">
    <vt:lpwstr>{IMan.Number}.{IMan.Version}\{IMan.imProfileCustom1}</vt:lpwstr>
  </property>
  <property fmtid="{D5CDD505-2E9C-101B-9397-08002B2CF9AE}" pid="4" name="SD_TIM_Ran">
    <vt:lpwstr>True</vt:lpwstr>
  </property>
  <property fmtid="{D5CDD505-2E9C-101B-9397-08002B2CF9AE}" pid="5" name="Reference">
    <vt:lpwstr>131408562.1\682477</vt:lpwstr>
  </property>
  <property fmtid="{D5CDD505-2E9C-101B-9397-08002B2CF9AE}" pid="6" name="MSIP_Label_65bade86-969a-4cfc-8d70-99d1f0adeaba_Enabled">
    <vt:lpwstr>true</vt:lpwstr>
  </property>
  <property fmtid="{D5CDD505-2E9C-101B-9397-08002B2CF9AE}" pid="7" name="MSIP_Label_65bade86-969a-4cfc-8d70-99d1f0adeaba_SetDate">
    <vt:lpwstr>2022-04-05T12:30:15Z</vt:lpwstr>
  </property>
  <property fmtid="{D5CDD505-2E9C-101B-9397-08002B2CF9AE}" pid="8" name="MSIP_Label_65bade86-969a-4cfc-8d70-99d1f0adeaba_Method">
    <vt:lpwstr>Standard</vt:lpwstr>
  </property>
  <property fmtid="{D5CDD505-2E9C-101B-9397-08002B2CF9AE}" pid="9" name="MSIP_Label_65bade86-969a-4cfc-8d70-99d1f0adeaba_Name">
    <vt:lpwstr>65bade86-969a-4cfc-8d70-99d1f0adeaba</vt:lpwstr>
  </property>
  <property fmtid="{D5CDD505-2E9C-101B-9397-08002B2CF9AE}" pid="10" name="MSIP_Label_65bade86-969a-4cfc-8d70-99d1f0adeaba_SiteId">
    <vt:lpwstr>efaa16aa-d1de-4d58-ba2e-2833fdfdd29f</vt:lpwstr>
  </property>
  <property fmtid="{D5CDD505-2E9C-101B-9397-08002B2CF9AE}" pid="11" name="MSIP_Label_65bade86-969a-4cfc-8d70-99d1f0adeaba_ActionId">
    <vt:lpwstr>0e34ccdc-1391-4d4e-9ed9-72604fd13141</vt:lpwstr>
  </property>
  <property fmtid="{D5CDD505-2E9C-101B-9397-08002B2CF9AE}" pid="12" name="MSIP_Label_65bade86-969a-4cfc-8d70-99d1f0adeaba_ContentBits">
    <vt:lpwstr>1</vt:lpwstr>
  </property>
</Properties>
</file>